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50" w:rsidRDefault="00235D57">
      <w:pPr>
        <w:spacing w:before="100"/>
        <w:ind w:left="100"/>
        <w:rPr>
          <w:rFonts w:ascii="Calibri Light"/>
          <w:sz w:val="32"/>
        </w:rPr>
      </w:pPr>
      <w:bookmarkStart w:id="0" w:name="Resource_Guide_for_GCRC_Applicants:_Addr"/>
      <w:bookmarkStart w:id="1" w:name="_GoBack"/>
      <w:bookmarkEnd w:id="0"/>
      <w:bookmarkEnd w:id="1"/>
      <w:r>
        <w:rPr>
          <w:rFonts w:ascii="Calibri Light"/>
          <w:color w:val="2E5395"/>
          <w:sz w:val="32"/>
        </w:rPr>
        <w:t>Resource Guide for GCRC Applicants: Addressing EDI Requirements</w:t>
      </w:r>
    </w:p>
    <w:p w:rsidR="00813C50" w:rsidRPr="0051612F" w:rsidRDefault="00235D57">
      <w:pPr>
        <w:pStyle w:val="Heading1"/>
        <w:spacing w:before="307"/>
      </w:pPr>
      <w:bookmarkStart w:id="2" w:name="Background:"/>
      <w:bookmarkEnd w:id="2"/>
      <w:r w:rsidRPr="0051612F">
        <w:rPr>
          <w:color w:val="2E5395"/>
        </w:rPr>
        <w:t>Background:</w:t>
      </w:r>
    </w:p>
    <w:p w:rsidR="008D18D2" w:rsidRDefault="00235D57">
      <w:pPr>
        <w:pStyle w:val="BodyText"/>
        <w:spacing w:before="1"/>
        <w:ind w:left="100" w:right="305"/>
      </w:pPr>
      <w:r w:rsidRPr="003754A5">
        <w:rPr>
          <w:i/>
        </w:rPr>
        <w:t>Inclusive Excellence</w:t>
      </w:r>
      <w:r>
        <w:t xml:space="preserve"> is a cross-cutting priority in UBC’s new strategic plan, </w:t>
      </w:r>
      <w:hyperlink r:id="rId8" w:history="1">
        <w:r w:rsidRPr="00905566">
          <w:rPr>
            <w:rStyle w:val="Hyperlink"/>
          </w:rPr>
          <w:t>Shaping the Next Century (2018-2028)</w:t>
        </w:r>
      </w:hyperlink>
      <w:r>
        <w:t xml:space="preserve">. UBC believes that sustained excellence in research, education and engagement depends on the integration of diverse perspectives and approaches and the inclusion of those who have been historically, persistently, or systemically marginalized. UBC recently reaffirmed its commitment to embedding equity, diversity, and inclusion (EDI) in research by endorsing the Government of Canada’s </w:t>
      </w:r>
      <w:hyperlink r:id="rId9">
        <w:r w:rsidR="008D18D2">
          <w:rPr>
            <w:color w:val="0000FF"/>
            <w:u w:val="single" w:color="0000FF"/>
          </w:rPr>
          <w:t>Dimensions charter</w:t>
        </w:r>
        <w:r w:rsidR="008D18D2">
          <w:t>,</w:t>
        </w:r>
      </w:hyperlink>
      <w:r w:rsidR="008D18D2">
        <w:t xml:space="preserve"> which </w:t>
      </w:r>
      <w:r w:rsidR="008D18D2" w:rsidRPr="003754A5">
        <w:rPr>
          <w:rFonts w:asciiTheme="minorHAnsi" w:hAnsiTheme="minorHAnsi" w:cstheme="minorHAnsi"/>
        </w:rPr>
        <w:t xml:space="preserve">outlines </w:t>
      </w:r>
      <w:r w:rsidR="008D18D2" w:rsidRPr="003754A5">
        <w:rPr>
          <w:rFonts w:asciiTheme="minorHAnsi" w:hAnsiTheme="minorHAnsi" w:cstheme="minorHAnsi"/>
          <w:color w:val="222222"/>
          <w:shd w:val="clear" w:color="auto" w:fill="FFFFFF"/>
        </w:rPr>
        <w:t xml:space="preserve">principles </w:t>
      </w:r>
      <w:r w:rsidR="008D18D2">
        <w:rPr>
          <w:rFonts w:asciiTheme="minorHAnsi" w:hAnsiTheme="minorHAnsi" w:cstheme="minorHAnsi"/>
          <w:color w:val="222222"/>
          <w:shd w:val="clear" w:color="auto" w:fill="FFFFFF"/>
        </w:rPr>
        <w:t xml:space="preserve">that post-secondary </w:t>
      </w:r>
      <w:r w:rsidR="008D18D2" w:rsidRPr="003754A5">
        <w:rPr>
          <w:rFonts w:asciiTheme="minorHAnsi" w:hAnsiTheme="minorHAnsi" w:cstheme="minorHAnsi"/>
          <w:color w:val="222222"/>
          <w:shd w:val="clear" w:color="auto" w:fill="FFFFFF"/>
        </w:rPr>
        <w:t>institutions commit to, to foster increased research excellence, innovation and creativity within the post-secondary sector across all disciplines, through greater EDI.</w:t>
      </w:r>
    </w:p>
    <w:p w:rsidR="008D18D2" w:rsidRDefault="008D18D2">
      <w:pPr>
        <w:pStyle w:val="BodyText"/>
        <w:spacing w:before="1"/>
        <w:ind w:left="100" w:right="305"/>
      </w:pPr>
    </w:p>
    <w:p w:rsidR="00813C50" w:rsidRPr="003754A5" w:rsidRDefault="00235D57" w:rsidP="003754A5">
      <w:pPr>
        <w:pStyle w:val="BodyText"/>
        <w:spacing w:before="1"/>
        <w:ind w:left="100" w:right="305"/>
        <w:rPr>
          <w:rFonts w:asciiTheme="minorHAnsi" w:hAnsiTheme="minorHAnsi" w:cstheme="minorHAnsi"/>
        </w:rPr>
      </w:pPr>
      <w:r>
        <w:t xml:space="preserve">In </w:t>
      </w:r>
      <w:r w:rsidR="00905566">
        <w:t>addition</w:t>
      </w:r>
      <w:r>
        <w:t xml:space="preserve">, UBC was selected as one of 17 institutions to participate in </w:t>
      </w:r>
      <w:hyperlink r:id="rId10" w:history="1">
        <w:r w:rsidRPr="003754A5">
          <w:rPr>
            <w:rStyle w:val="Hyperlink"/>
            <w:color w:val="auto"/>
            <w:u w:val="none"/>
          </w:rPr>
          <w:t xml:space="preserve">the </w:t>
        </w:r>
        <w:r w:rsidRPr="008D18D2">
          <w:rPr>
            <w:rStyle w:val="Hyperlink"/>
          </w:rPr>
          <w:t>Dimensions pilot program</w:t>
        </w:r>
      </w:hyperlink>
      <w:r w:rsidR="008D18D2">
        <w:t xml:space="preserve">, an initiative led by the federal Tri-Agencies designed to </w:t>
      </w:r>
      <w:r w:rsidR="008D18D2" w:rsidRPr="003754A5">
        <w:rPr>
          <w:rFonts w:asciiTheme="minorHAnsi" w:hAnsiTheme="minorHAnsi" w:cstheme="minorHAnsi"/>
          <w:color w:val="222222"/>
          <w:shd w:val="clear" w:color="auto" w:fill="FFFFFF"/>
        </w:rPr>
        <w:t>provide a mechanism that post-secondary institutions can adopt to increase research excellence, innovation and creativity across all disciplines through increased</w:t>
      </w:r>
      <w:r w:rsidR="008D18D2" w:rsidRPr="003754A5">
        <w:rPr>
          <w:rFonts w:asciiTheme="minorHAnsi" w:hAnsiTheme="minorHAnsi" w:cstheme="minorHAnsi"/>
        </w:rPr>
        <w:t xml:space="preserve"> EDI.  The </w:t>
      </w:r>
      <w:hyperlink r:id="rId11" w:history="1">
        <w:r w:rsidR="008D18D2" w:rsidRPr="003754A5">
          <w:rPr>
            <w:rStyle w:val="Hyperlink"/>
            <w:rFonts w:asciiTheme="minorHAnsi" w:hAnsiTheme="minorHAnsi" w:cstheme="minorHAnsi"/>
          </w:rPr>
          <w:t>UBC Dimensions pilot project</w:t>
        </w:r>
      </w:hyperlink>
      <w:r w:rsidR="008D18D2" w:rsidRPr="003754A5">
        <w:rPr>
          <w:rFonts w:asciiTheme="minorHAnsi" w:hAnsiTheme="minorHAnsi" w:cstheme="minorHAnsi"/>
        </w:rPr>
        <w:t xml:space="preserve"> is currently underway, </w:t>
      </w:r>
      <w:r w:rsidR="00236312" w:rsidRPr="003754A5">
        <w:rPr>
          <w:rFonts w:asciiTheme="minorHAnsi" w:hAnsiTheme="minorHAnsi" w:cstheme="minorHAnsi"/>
        </w:rPr>
        <w:t xml:space="preserve">an essential element of which is to </w:t>
      </w:r>
      <w:r w:rsidR="007E1F34">
        <w:rPr>
          <w:rFonts w:asciiTheme="minorHAnsi" w:hAnsiTheme="minorHAnsi" w:cstheme="minorHAnsi"/>
          <w:color w:val="222222"/>
          <w:shd w:val="clear" w:color="auto" w:fill="FFFFFF"/>
        </w:rPr>
        <w:t>complete a</w:t>
      </w:r>
      <w:r w:rsidR="007E1F34" w:rsidRPr="003754A5">
        <w:rPr>
          <w:rFonts w:asciiTheme="minorHAnsi" w:hAnsiTheme="minorHAnsi" w:cstheme="minorHAnsi"/>
          <w:color w:val="222222"/>
          <w:shd w:val="clear" w:color="auto" w:fill="FFFFFF"/>
        </w:rPr>
        <w:t xml:space="preserve"> comprehensive institutional scan of available EDI-related data in order to identify and address barriers, particularly those experienced by historically underserved, marginalized or excluded populations</w:t>
      </w:r>
      <w:r w:rsidR="009179D5" w:rsidRPr="003754A5">
        <w:rPr>
          <w:rFonts w:asciiTheme="minorHAnsi" w:hAnsiTheme="minorHAnsi" w:cstheme="minorHAnsi"/>
        </w:rPr>
        <w:t>.  As such, in accordance with UBC’s commitment to EDI and its participation in the Dimensions pilot program, the VPRI Office is integrating principles of</w:t>
      </w:r>
      <w:r w:rsidRPr="003754A5">
        <w:rPr>
          <w:rFonts w:asciiTheme="minorHAnsi" w:hAnsiTheme="minorHAnsi" w:cstheme="minorHAnsi"/>
        </w:rPr>
        <w:t xml:space="preserve"> EDI into all aspects of its internal research funding competitions</w:t>
      </w:r>
      <w:r w:rsidR="009179D5" w:rsidRPr="003754A5">
        <w:rPr>
          <w:rFonts w:asciiTheme="minorHAnsi" w:hAnsiTheme="minorHAnsi" w:cstheme="minorHAnsi"/>
        </w:rPr>
        <w:t>,</w:t>
      </w:r>
      <w:r w:rsidRPr="003754A5">
        <w:rPr>
          <w:rFonts w:asciiTheme="minorHAnsi" w:hAnsiTheme="minorHAnsi" w:cstheme="minorHAnsi"/>
        </w:rPr>
        <w:t xml:space="preserve"> including application requirements, evaluation criteria, </w:t>
      </w:r>
      <w:r w:rsidR="009179D5" w:rsidRPr="003754A5">
        <w:rPr>
          <w:rFonts w:asciiTheme="minorHAnsi" w:hAnsiTheme="minorHAnsi" w:cstheme="minorHAnsi"/>
        </w:rPr>
        <w:t xml:space="preserve">peer review panel </w:t>
      </w:r>
      <w:r w:rsidRPr="003754A5">
        <w:rPr>
          <w:rFonts w:asciiTheme="minorHAnsi" w:hAnsiTheme="minorHAnsi" w:cstheme="minorHAnsi"/>
        </w:rPr>
        <w:t>composition, and end-of-grant reporting.</w:t>
      </w:r>
    </w:p>
    <w:p w:rsidR="00813C50" w:rsidRDefault="00813C50">
      <w:pPr>
        <w:pStyle w:val="BodyText"/>
        <w:spacing w:before="1"/>
        <w:rPr>
          <w:sz w:val="25"/>
        </w:rPr>
      </w:pPr>
    </w:p>
    <w:p w:rsidR="00813C50" w:rsidRPr="0051612F" w:rsidRDefault="00A600E6">
      <w:pPr>
        <w:pStyle w:val="Heading1"/>
      </w:pPr>
      <w:bookmarkStart w:id="3" w:name="2019_GCRC_Competition:"/>
      <w:bookmarkEnd w:id="3"/>
      <w:r>
        <w:rPr>
          <w:color w:val="2E5395"/>
        </w:rPr>
        <w:t>2021</w:t>
      </w:r>
      <w:r w:rsidR="009179D5" w:rsidRPr="0051612F">
        <w:rPr>
          <w:color w:val="2E5395"/>
        </w:rPr>
        <w:t xml:space="preserve"> </w:t>
      </w:r>
      <w:r w:rsidR="00235D57" w:rsidRPr="0051612F">
        <w:rPr>
          <w:color w:val="2E5395"/>
        </w:rPr>
        <w:t>GCRC Competition:</w:t>
      </w:r>
    </w:p>
    <w:p w:rsidR="00813C50" w:rsidRDefault="00235D57">
      <w:pPr>
        <w:spacing w:before="1"/>
        <w:ind w:left="100"/>
      </w:pPr>
      <w:r>
        <w:t xml:space="preserve">Applicants </w:t>
      </w:r>
      <w:r w:rsidR="009179D5">
        <w:t xml:space="preserve">for </w:t>
      </w:r>
      <w:r>
        <w:t xml:space="preserve">the </w:t>
      </w:r>
      <w:r>
        <w:rPr>
          <w:b/>
        </w:rPr>
        <w:t>20</w:t>
      </w:r>
      <w:r w:rsidR="009179D5">
        <w:rPr>
          <w:b/>
        </w:rPr>
        <w:t>2</w:t>
      </w:r>
      <w:r w:rsidR="00A600E6">
        <w:rPr>
          <w:b/>
        </w:rPr>
        <w:t>1</w:t>
      </w:r>
      <w:r>
        <w:rPr>
          <w:b/>
        </w:rPr>
        <w:t xml:space="preserve"> Grants for Catalyzing Research Clusters (GCRC) competition </w:t>
      </w:r>
      <w:r>
        <w:t>are required to</w:t>
      </w:r>
    </w:p>
    <w:p w:rsidR="00813C50" w:rsidRDefault="00235D57">
      <w:pPr>
        <w:spacing w:before="1"/>
        <w:ind w:left="100"/>
      </w:pPr>
      <w:r>
        <w:t>“</w:t>
      </w:r>
      <w:r>
        <w:rPr>
          <w:i/>
        </w:rPr>
        <w:t>describe the cluster’s commitment to equity, diversity, inclusion as it applies to cluster membership, proposed activities and research themes</w:t>
      </w:r>
      <w:r>
        <w:t xml:space="preserve">.” EDI is a fundamental component of the GCRC application and applicants should embed EDI considerations </w:t>
      </w:r>
      <w:r>
        <w:rPr>
          <w:i/>
        </w:rPr>
        <w:t xml:space="preserve">throughout </w:t>
      </w:r>
      <w:r>
        <w:t xml:space="preserve">their </w:t>
      </w:r>
      <w:r>
        <w:lastRenderedPageBreak/>
        <w:t>proposals. Proposals will be evaluated on how well they address and incorporate EDI considerations.</w:t>
      </w:r>
    </w:p>
    <w:p w:rsidR="00B91B45" w:rsidRDefault="00B91B45">
      <w:pPr>
        <w:spacing w:before="1"/>
        <w:ind w:left="100"/>
      </w:pPr>
    </w:p>
    <w:p w:rsidR="00B91B45" w:rsidRDefault="00B91B45">
      <w:pPr>
        <w:spacing w:before="1"/>
        <w:ind w:left="100"/>
      </w:pPr>
      <w:r>
        <w:t>What do we mean by equity, diversity and inclusions</w:t>
      </w:r>
      <w:r w:rsidR="00CB7246">
        <w:t>?</w:t>
      </w:r>
    </w:p>
    <w:p w:rsidR="003709EB" w:rsidRPr="003754A5" w:rsidRDefault="00CB7246">
      <w:pPr>
        <w:pStyle w:val="ListParagraph"/>
        <w:numPr>
          <w:ilvl w:val="0"/>
          <w:numId w:val="3"/>
        </w:numPr>
        <w:spacing w:before="1"/>
      </w:pPr>
      <w:r w:rsidRPr="003754A5">
        <w:rPr>
          <w:b/>
        </w:rPr>
        <w:t>Equity</w:t>
      </w:r>
      <w:r w:rsidRPr="003754A5">
        <w:t xml:space="preserve"> refers to achieving parity in policy, process and outcomes.  It also considers </w:t>
      </w:r>
      <w:r w:rsidRPr="003754A5">
        <w:rPr>
          <w:i/>
          <w:iCs/>
        </w:rPr>
        <w:t>power</w:t>
      </w:r>
      <w:r w:rsidRPr="003754A5">
        <w:t xml:space="preserve">, </w:t>
      </w:r>
      <w:r w:rsidRPr="003754A5">
        <w:rPr>
          <w:i/>
          <w:iCs/>
        </w:rPr>
        <w:t>access</w:t>
      </w:r>
      <w:r w:rsidRPr="003754A5">
        <w:t xml:space="preserve">, </w:t>
      </w:r>
      <w:r w:rsidRPr="003754A5">
        <w:rPr>
          <w:i/>
          <w:iCs/>
        </w:rPr>
        <w:t>opportunities</w:t>
      </w:r>
      <w:r w:rsidRPr="003754A5">
        <w:t xml:space="preserve">, </w:t>
      </w:r>
      <w:r w:rsidRPr="003754A5">
        <w:rPr>
          <w:i/>
          <w:iCs/>
        </w:rPr>
        <w:t>treatment</w:t>
      </w:r>
      <w:r w:rsidRPr="003754A5">
        <w:t xml:space="preserve">, </w:t>
      </w:r>
      <w:r w:rsidRPr="003754A5">
        <w:rPr>
          <w:i/>
          <w:iCs/>
        </w:rPr>
        <w:t>impacts</w:t>
      </w:r>
      <w:r w:rsidRPr="003754A5">
        <w:t xml:space="preserve"> and </w:t>
      </w:r>
      <w:r w:rsidRPr="003754A5">
        <w:rPr>
          <w:i/>
          <w:iCs/>
        </w:rPr>
        <w:t>outcomes</w:t>
      </w:r>
      <w:r w:rsidRPr="003754A5">
        <w:t xml:space="preserve"> </w:t>
      </w:r>
      <w:r>
        <w:t>though r</w:t>
      </w:r>
      <w:r w:rsidRPr="003754A5">
        <w:t>epresentational equity</w:t>
      </w:r>
      <w:r>
        <w:t>, r</w:t>
      </w:r>
      <w:r w:rsidRPr="003754A5">
        <w:t>esource equity</w:t>
      </w:r>
      <w:r>
        <w:t>, and e</w:t>
      </w:r>
      <w:r w:rsidRPr="003754A5">
        <w:t>quity-mindedness</w:t>
      </w:r>
      <w:r>
        <w:t>.</w:t>
      </w:r>
    </w:p>
    <w:p w:rsidR="00CB7246" w:rsidRPr="00CB7246" w:rsidRDefault="00CB7246" w:rsidP="00CB7246">
      <w:pPr>
        <w:pStyle w:val="ListParagraph"/>
        <w:numPr>
          <w:ilvl w:val="0"/>
          <w:numId w:val="3"/>
        </w:numPr>
        <w:spacing w:before="1"/>
      </w:pPr>
      <w:r w:rsidRPr="003754A5">
        <w:rPr>
          <w:b/>
        </w:rPr>
        <w:t>Diversity</w:t>
      </w:r>
      <w:r>
        <w:t xml:space="preserve"> </w:t>
      </w:r>
      <w:r w:rsidRPr="00CB7246">
        <w:t xml:space="preserve">refers to the lived experiences and perspectives of people that may include race, ethnicity, colour, ancestry, place of origin, political belief, religion, marital status, family status, physical disability, mental disability, sex, gender identity or expression, sexual orientation, age, class, and/or socio-economic situations. </w:t>
      </w:r>
    </w:p>
    <w:p w:rsidR="00CB7246" w:rsidRPr="00CB7246" w:rsidRDefault="00CB7246" w:rsidP="003754A5">
      <w:pPr>
        <w:pStyle w:val="ListParagraph"/>
        <w:numPr>
          <w:ilvl w:val="0"/>
          <w:numId w:val="3"/>
        </w:numPr>
        <w:spacing w:before="1"/>
      </w:pPr>
      <w:r w:rsidRPr="003754A5">
        <w:rPr>
          <w:b/>
        </w:rPr>
        <w:t>Inclusion</w:t>
      </w:r>
      <w:r>
        <w:t xml:space="preserve"> refers to an active</w:t>
      </w:r>
      <w:r w:rsidRPr="00CB7246">
        <w:t>, intentional, and continuous process t</w:t>
      </w:r>
      <w:r>
        <w:t xml:space="preserve">o </w:t>
      </w:r>
      <w:r w:rsidRPr="00CB7246">
        <w:t>address inequities in power and privilege</w:t>
      </w:r>
      <w:r>
        <w:t xml:space="preserve">, </w:t>
      </w:r>
      <w:r w:rsidRPr="00CB7246">
        <w:t>build a respectful and diverse community that ensures welcoming spaces</w:t>
      </w:r>
      <w:r>
        <w:t xml:space="preserve">, and </w:t>
      </w:r>
      <w:r w:rsidRPr="00CB7246">
        <w:t>opportunities to flourish for all.</w:t>
      </w:r>
    </w:p>
    <w:p w:rsidR="00813C50" w:rsidRDefault="00813C50">
      <w:pPr>
        <w:pStyle w:val="BodyText"/>
        <w:spacing w:before="3"/>
      </w:pPr>
    </w:p>
    <w:p w:rsidR="00813C50" w:rsidRPr="003754A5" w:rsidRDefault="00235D57" w:rsidP="003754A5">
      <w:pPr>
        <w:pStyle w:val="BodyText"/>
        <w:spacing w:after="120"/>
        <w:ind w:left="101"/>
      </w:pPr>
      <w:r>
        <w:t>Below are suggestions to help clusters begin addressing EDI within their GCRC applications:</w:t>
      </w:r>
    </w:p>
    <w:p w:rsidR="00813C50" w:rsidRPr="0051612F" w:rsidRDefault="00235D57">
      <w:pPr>
        <w:pStyle w:val="Heading2"/>
      </w:pPr>
      <w:bookmarkStart w:id="4" w:name="Cluster_Leadership_and_Team_Composition:"/>
      <w:bookmarkEnd w:id="4"/>
      <w:r w:rsidRPr="0051612F">
        <w:rPr>
          <w:color w:val="1F3762"/>
        </w:rPr>
        <w:t>Cluster Leadership and Team Composition:</w:t>
      </w:r>
    </w:p>
    <w:p w:rsidR="00CB7246" w:rsidRDefault="00CB7246" w:rsidP="00CB7246">
      <w:pPr>
        <w:pStyle w:val="BodyText"/>
        <w:spacing w:before="2"/>
        <w:ind w:left="100" w:right="143"/>
      </w:pPr>
      <w:r w:rsidRPr="00CB7246">
        <w:t>Representational diversity</w:t>
      </w:r>
      <w:r>
        <w:t>,</w:t>
      </w:r>
      <w:r w:rsidRPr="00CB7246">
        <w:t xml:space="preserve"> in addition to diversity in education, expertise and lived </w:t>
      </w:r>
      <w:r>
        <w:t>e</w:t>
      </w:r>
      <w:r w:rsidRPr="00CB7246">
        <w:t>xperiences</w:t>
      </w:r>
      <w:r>
        <w:t>,</w:t>
      </w:r>
      <w:r w:rsidRPr="00CB7246">
        <w:t xml:space="preserve"> are fundamental to achieving research and training excellence.</w:t>
      </w:r>
      <w:r>
        <w:t xml:space="preserve"> Therefore, c</w:t>
      </w:r>
      <w:r w:rsidR="00235D57">
        <w:t>lusters should reflect upon the composition of their teams with respect to the representation of individuals with diverse identities.</w:t>
      </w:r>
    </w:p>
    <w:p w:rsidR="009E23C1" w:rsidRPr="003754A5" w:rsidRDefault="00235D57" w:rsidP="003754A5">
      <w:pPr>
        <w:widowControl/>
        <w:adjustRightInd w:val="0"/>
        <w:ind w:left="90"/>
        <w:rPr>
          <w:rFonts w:asciiTheme="minorHAnsi" w:eastAsia="Whitney-Medium" w:hAnsiTheme="minorHAnsi" w:cstheme="minorHAnsi"/>
          <w:lang w:bidi="ar-SA"/>
        </w:rPr>
      </w:pPr>
      <w:r w:rsidRPr="003754A5">
        <w:rPr>
          <w:rFonts w:asciiTheme="minorHAnsi" w:hAnsiTheme="minorHAnsi" w:cstheme="minorHAnsi"/>
        </w:rPr>
        <w:t xml:space="preserve">While clusters should pay particular attention to the representation of members from </w:t>
      </w:r>
      <w:r w:rsidR="009E23C1" w:rsidRPr="003754A5">
        <w:rPr>
          <w:rFonts w:asciiTheme="minorHAnsi" w:eastAsia="Whitney-Medium" w:hAnsiTheme="minorHAnsi" w:cstheme="minorHAnsi"/>
          <w:lang w:bidi="ar-SA"/>
        </w:rPr>
        <w:t>historically</w:t>
      </w:r>
    </w:p>
    <w:p w:rsidR="00813C50" w:rsidRDefault="009E23C1" w:rsidP="003754A5">
      <w:pPr>
        <w:pStyle w:val="BodyText"/>
        <w:spacing w:before="2"/>
        <w:ind w:left="101" w:right="144"/>
      </w:pPr>
      <w:r w:rsidRPr="003754A5">
        <w:rPr>
          <w:rFonts w:asciiTheme="minorHAnsi" w:eastAsia="Whitney-Medium" w:hAnsiTheme="minorHAnsi" w:cstheme="minorHAnsi"/>
          <w:lang w:bidi="ar-SA"/>
        </w:rPr>
        <w:t>underserved, marginalized or excluded populations</w:t>
      </w:r>
      <w:r>
        <w:rPr>
          <w:rFonts w:asciiTheme="minorHAnsi" w:eastAsia="Whitney-Medium" w:hAnsiTheme="minorHAnsi" w:cstheme="minorHAnsi"/>
          <w:lang w:bidi="ar-SA"/>
        </w:rPr>
        <w:t xml:space="preserve"> </w:t>
      </w:r>
      <w:r w:rsidR="00235D57" w:rsidRPr="003754A5">
        <w:rPr>
          <w:rFonts w:asciiTheme="minorHAnsi" w:hAnsiTheme="minorHAnsi" w:cstheme="minorHAnsi"/>
        </w:rPr>
        <w:t>(</w:t>
      </w:r>
      <w:r>
        <w:rPr>
          <w:rFonts w:asciiTheme="minorHAnsi" w:hAnsiTheme="minorHAnsi" w:cstheme="minorHAnsi"/>
        </w:rPr>
        <w:t xml:space="preserve">e.g., </w:t>
      </w:r>
      <w:r w:rsidR="00235D57" w:rsidRPr="003754A5">
        <w:rPr>
          <w:rFonts w:asciiTheme="minorHAnsi" w:hAnsiTheme="minorHAnsi" w:cstheme="minorHAnsi"/>
        </w:rPr>
        <w:t>women, Indigenous Peoples, visible minorities/racialized groups, persons with disabilities</w:t>
      </w:r>
      <w:r>
        <w:rPr>
          <w:rFonts w:asciiTheme="minorHAnsi" w:hAnsiTheme="minorHAnsi" w:cstheme="minorHAnsi"/>
        </w:rPr>
        <w:t>, and members of the LGBTQ2+ community</w:t>
      </w:r>
      <w:r w:rsidR="00235D57" w:rsidRPr="003754A5">
        <w:rPr>
          <w:rFonts w:asciiTheme="minorHAnsi" w:hAnsiTheme="minorHAnsi" w:cstheme="minorHAnsi"/>
        </w:rPr>
        <w:t>),</w:t>
      </w:r>
      <w:r w:rsidR="00235D57">
        <w:t xml:space="preserve"> they are </w:t>
      </w:r>
      <w:r>
        <w:t xml:space="preserve">also </w:t>
      </w:r>
      <w:r w:rsidR="00235D57">
        <w:t>encouraged to</w:t>
      </w:r>
      <w:r w:rsidR="00235D57">
        <w:rPr>
          <w:spacing w:val="-31"/>
        </w:rPr>
        <w:t xml:space="preserve"> </w:t>
      </w:r>
      <w:r w:rsidR="00235D57">
        <w:t xml:space="preserve">think broadly about diversity to incorporate a range of self-identities, for instance, people of different ages, career stages, ethno-cultural backgrounds, and countries of origins. Applicants should consider their process for identifying, recruiting and selecting team members and where diversity is lacking, </w:t>
      </w:r>
      <w:r>
        <w:t xml:space="preserve">and </w:t>
      </w:r>
      <w:r w:rsidR="00235D57">
        <w:t>describe strategies for ensuring greater diversity</w:t>
      </w:r>
      <w:r>
        <w:t>,</w:t>
      </w:r>
      <w:r w:rsidR="00235D57">
        <w:t xml:space="preserve"> such as targeted outreach or recruitment</w:t>
      </w:r>
      <w:r w:rsidR="00235D57">
        <w:rPr>
          <w:spacing w:val="-2"/>
        </w:rPr>
        <w:t xml:space="preserve"> </w:t>
      </w:r>
      <w:r w:rsidR="00235D57">
        <w:t>plans.</w:t>
      </w:r>
    </w:p>
    <w:p w:rsidR="00813C50" w:rsidRDefault="00813C50">
      <w:pPr>
        <w:pStyle w:val="BodyText"/>
        <w:spacing w:before="11"/>
        <w:rPr>
          <w:sz w:val="21"/>
        </w:rPr>
      </w:pPr>
    </w:p>
    <w:p w:rsidR="009E23C1" w:rsidRPr="007A058C" w:rsidRDefault="00235D57">
      <w:pPr>
        <w:pStyle w:val="BodyText"/>
        <w:spacing w:before="1"/>
        <w:ind w:left="100" w:right="98"/>
      </w:pPr>
      <w:r>
        <w:t xml:space="preserve">In addressing team composition, clusters are cautioned to avoid “tokenistic inclusion” by carefully examining how EDI is being incorporated into their plans for cluster leadership and organization to ensure that </w:t>
      </w:r>
      <w:r w:rsidR="009E23C1">
        <w:t xml:space="preserve">all </w:t>
      </w:r>
      <w:r>
        <w:t xml:space="preserve">team members </w:t>
      </w:r>
      <w:r w:rsidR="009E23C1">
        <w:t xml:space="preserve">are integrated and </w:t>
      </w:r>
      <w:r>
        <w:t xml:space="preserve">have </w:t>
      </w:r>
      <w:r w:rsidR="009E23C1">
        <w:t xml:space="preserve">equal </w:t>
      </w:r>
      <w:r>
        <w:t xml:space="preserve">access </w:t>
      </w:r>
      <w:r>
        <w:lastRenderedPageBreak/>
        <w:t>to leadership opportunities and resources, and are able to fully participate in and contribute to the direction of cluster activities</w:t>
      </w:r>
      <w:r w:rsidR="00725D2D">
        <w:t>.</w:t>
      </w:r>
      <w:r w:rsidR="009E23C1">
        <w:t xml:space="preserve"> </w:t>
      </w:r>
      <w:r w:rsidR="00725D2D">
        <w:t>T</w:t>
      </w:r>
      <w:r w:rsidR="009E23C1">
        <w:t>his i</w:t>
      </w:r>
      <w:r w:rsidR="009E23C1" w:rsidRPr="009E23C1">
        <w:t>s fundamental to achieving research and training excellence</w:t>
      </w:r>
      <w:r w:rsidR="00725D2D">
        <w:t>, as s</w:t>
      </w:r>
      <w:r w:rsidR="007A058C">
        <w:t xml:space="preserve">tudies suggest </w:t>
      </w:r>
      <w:r w:rsidR="007A058C" w:rsidRPr="007A058C">
        <w:t xml:space="preserve">more diverse </w:t>
      </w:r>
      <w:r w:rsidR="007A058C" w:rsidRPr="003754A5">
        <w:rPr>
          <w:bCs/>
        </w:rPr>
        <w:t xml:space="preserve">research labs </w:t>
      </w:r>
      <w:r w:rsidR="00725D2D">
        <w:rPr>
          <w:bCs/>
        </w:rPr>
        <w:t>have greater</w:t>
      </w:r>
      <w:r w:rsidR="007A058C" w:rsidRPr="003754A5">
        <w:rPr>
          <w:bCs/>
        </w:rPr>
        <w:t xml:space="preserve"> productiv</w:t>
      </w:r>
      <w:r w:rsidR="00725D2D">
        <w:rPr>
          <w:bCs/>
        </w:rPr>
        <w:t>ity</w:t>
      </w:r>
      <w:r w:rsidR="007A058C" w:rsidRPr="007A058C">
        <w:t xml:space="preserve"> than those that are homogeneous</w:t>
      </w:r>
      <w:r w:rsidR="007A058C">
        <w:rPr>
          <w:rStyle w:val="FootnoteReference"/>
        </w:rPr>
        <w:footnoteReference w:id="1"/>
      </w:r>
      <w:r w:rsidR="00725D2D">
        <w:t xml:space="preserve"> and that more gender-diverse groups produce higher quality research publications</w:t>
      </w:r>
      <w:r w:rsidR="00725D2D">
        <w:rPr>
          <w:rStyle w:val="FootnoteReference"/>
        </w:rPr>
        <w:footnoteReference w:id="2"/>
      </w:r>
      <w:r w:rsidR="00725D2D">
        <w:t>.</w:t>
      </w:r>
    </w:p>
    <w:p w:rsidR="009E23C1" w:rsidRDefault="009E23C1" w:rsidP="003754A5">
      <w:pPr>
        <w:pStyle w:val="BodyText"/>
        <w:spacing w:before="1"/>
        <w:ind w:left="101" w:right="101"/>
      </w:pPr>
    </w:p>
    <w:p w:rsidR="0051612F" w:rsidRPr="003754A5" w:rsidRDefault="009E23C1" w:rsidP="003754A5">
      <w:pPr>
        <w:pStyle w:val="Heading2"/>
        <w:ind w:left="86"/>
        <w:rPr>
          <w:rFonts w:asciiTheme="minorHAnsi" w:hAnsiTheme="minorHAnsi" w:cstheme="minorHAnsi"/>
          <w:color w:val="1F3762"/>
          <w:sz w:val="20"/>
        </w:rPr>
      </w:pPr>
      <w:r w:rsidRPr="003754A5">
        <w:rPr>
          <w:rFonts w:asciiTheme="minorHAnsi" w:hAnsiTheme="minorHAnsi" w:cstheme="minorHAnsi"/>
          <w:sz w:val="22"/>
        </w:rPr>
        <w:t>Furthermore, c</w:t>
      </w:r>
      <w:r w:rsidR="00235D57" w:rsidRPr="003754A5">
        <w:rPr>
          <w:rFonts w:asciiTheme="minorHAnsi" w:hAnsiTheme="minorHAnsi" w:cstheme="minorHAnsi"/>
          <w:sz w:val="22"/>
        </w:rPr>
        <w:t>lusters are encouraged to reflect upon the existence of any barriers or obstacles that may prevent or inhibit the meaningful engagement of team members and describe appropriate mechanisms to address them.</w:t>
      </w:r>
      <w:r w:rsidRPr="003754A5">
        <w:rPr>
          <w:rFonts w:asciiTheme="minorHAnsi" w:hAnsiTheme="minorHAnsi" w:cstheme="minorHAnsi"/>
          <w:sz w:val="22"/>
        </w:rPr>
        <w:t xml:space="preserve"> </w:t>
      </w:r>
      <w:r w:rsidR="00235D57" w:rsidRPr="003754A5">
        <w:rPr>
          <w:rFonts w:asciiTheme="minorHAnsi" w:hAnsiTheme="minorHAnsi" w:cstheme="minorHAnsi"/>
          <w:sz w:val="22"/>
        </w:rPr>
        <w:t>Similarly, in recruiting team members, clusters should consider the disproportionate unseen service burden placed on faculty</w:t>
      </w:r>
      <w:r w:rsidR="007E1F34" w:rsidRPr="003754A5">
        <w:rPr>
          <w:rFonts w:asciiTheme="minorHAnsi" w:hAnsiTheme="minorHAnsi" w:cstheme="minorHAnsi"/>
          <w:sz w:val="22"/>
        </w:rPr>
        <w:t xml:space="preserve"> and/or trainees</w:t>
      </w:r>
      <w:r w:rsidR="00235D57" w:rsidRPr="003754A5">
        <w:rPr>
          <w:rFonts w:asciiTheme="minorHAnsi" w:hAnsiTheme="minorHAnsi" w:cstheme="minorHAnsi"/>
          <w:sz w:val="22"/>
        </w:rPr>
        <w:t xml:space="preserve"> from underrepresented groups.</w:t>
      </w:r>
      <w:bookmarkStart w:id="5" w:name="Cluster_Activities:"/>
      <w:bookmarkEnd w:id="5"/>
    </w:p>
    <w:p w:rsidR="0051612F" w:rsidRPr="003754A5" w:rsidRDefault="0051612F" w:rsidP="003754A5">
      <w:pPr>
        <w:pStyle w:val="Heading2"/>
        <w:spacing w:before="11"/>
        <w:ind w:left="0"/>
        <w:rPr>
          <w:rFonts w:asciiTheme="minorHAnsi" w:hAnsiTheme="minorHAnsi" w:cstheme="minorHAnsi"/>
          <w:color w:val="1F3762"/>
          <w:sz w:val="20"/>
        </w:rPr>
      </w:pPr>
    </w:p>
    <w:p w:rsidR="00813C50" w:rsidRDefault="00235D57" w:rsidP="003754A5">
      <w:pPr>
        <w:pStyle w:val="Heading2"/>
        <w:ind w:left="86"/>
      </w:pPr>
      <w:r>
        <w:rPr>
          <w:color w:val="1F3762"/>
        </w:rPr>
        <w:t>Cluster Activities:</w:t>
      </w:r>
    </w:p>
    <w:p w:rsidR="00813C50" w:rsidRDefault="00235D57" w:rsidP="003754A5">
      <w:pPr>
        <w:pStyle w:val="BodyText"/>
        <w:spacing w:before="1"/>
        <w:ind w:left="90" w:right="140"/>
      </w:pPr>
      <w:r>
        <w:t xml:space="preserve">Advancing EDI is a shared responsibility. Clusters should consider strategies for developing their team’s diversity competencies and inclusion skills to help ensure that EDI is guiding and being incorporated into their activities. To help build EDI capacity, clusters are encouraged to begin by reviewing and exploring EDI focused resources, training, and events available at UBC through faculties/departments and units such as the </w:t>
      </w:r>
      <w:hyperlink r:id="rId12" w:history="1">
        <w:r w:rsidRPr="007A058C">
          <w:rPr>
            <w:rStyle w:val="Hyperlink"/>
          </w:rPr>
          <w:t>Equity &amp; Inclusion Office</w:t>
        </w:r>
      </w:hyperlink>
      <w:r>
        <w:t xml:space="preserve">, the </w:t>
      </w:r>
      <w:hyperlink r:id="rId13" w:history="1">
        <w:r w:rsidRPr="007A058C">
          <w:rPr>
            <w:rStyle w:val="Hyperlink"/>
          </w:rPr>
          <w:t>Indigenous Research Support Initiative</w:t>
        </w:r>
      </w:hyperlink>
      <w:r>
        <w:t xml:space="preserve">, the </w:t>
      </w:r>
      <w:hyperlink r:id="rId14" w:history="1">
        <w:r w:rsidRPr="007A058C">
          <w:rPr>
            <w:rStyle w:val="Hyperlink"/>
          </w:rPr>
          <w:t>Learning Exchange</w:t>
        </w:r>
      </w:hyperlink>
      <w:r w:rsidR="0098025B">
        <w:t xml:space="preserve">, </w:t>
      </w:r>
      <w:hyperlink r:id="rId15" w:history="1">
        <w:r w:rsidRPr="007A058C">
          <w:rPr>
            <w:rStyle w:val="Hyperlink"/>
          </w:rPr>
          <w:t>Community Engagement Office</w:t>
        </w:r>
      </w:hyperlink>
      <w:r w:rsidR="0098025B">
        <w:t xml:space="preserve">, and the </w:t>
      </w:r>
      <w:hyperlink r:id="rId16" w:history="1">
        <w:r w:rsidR="0098025B" w:rsidRPr="0098025B">
          <w:rPr>
            <w:rStyle w:val="Hyperlink"/>
          </w:rPr>
          <w:t>VPRI’s EDI in Research resource page</w:t>
        </w:r>
      </w:hyperlink>
      <w:r w:rsidR="0098025B">
        <w:t xml:space="preserve">. </w:t>
      </w:r>
      <w:r>
        <w:t>Clusters are also encouraged to look beyond UBC to explore the wealth of online resources developed by Canadian universities and funding agencies such</w:t>
      </w:r>
      <w:r>
        <w:rPr>
          <w:spacing w:val="-22"/>
        </w:rPr>
        <w:t xml:space="preserve"> </w:t>
      </w:r>
      <w:r>
        <w:t>as:</w:t>
      </w:r>
    </w:p>
    <w:p w:rsidR="00813C50" w:rsidRDefault="009A7CAA" w:rsidP="003754A5">
      <w:pPr>
        <w:pStyle w:val="ListParagraph"/>
        <w:numPr>
          <w:ilvl w:val="0"/>
          <w:numId w:val="2"/>
        </w:numPr>
        <w:tabs>
          <w:tab w:val="left" w:pos="1530"/>
        </w:tabs>
        <w:spacing w:line="279" w:lineRule="exact"/>
        <w:ind w:left="900"/>
      </w:pPr>
      <w:hyperlink r:id="rId17">
        <w:r w:rsidR="00235D57">
          <w:rPr>
            <w:color w:val="0000FF"/>
            <w:u w:val="single" w:color="0000FF"/>
          </w:rPr>
          <w:t>CRC Equity, Diversity, and Inclusion: Best Practices for Recruitment, Hiring and</w:t>
        </w:r>
        <w:r w:rsidR="00235D57">
          <w:rPr>
            <w:color w:val="0000FF"/>
            <w:spacing w:val="-19"/>
            <w:u w:val="single" w:color="0000FF"/>
          </w:rPr>
          <w:t xml:space="preserve"> </w:t>
        </w:r>
        <w:r w:rsidR="00235D57">
          <w:rPr>
            <w:color w:val="0000FF"/>
            <w:u w:val="single" w:color="0000FF"/>
          </w:rPr>
          <w:t>Retention</w:t>
        </w:r>
      </w:hyperlink>
    </w:p>
    <w:p w:rsidR="00813C50" w:rsidRDefault="009A7CAA" w:rsidP="003754A5">
      <w:pPr>
        <w:pStyle w:val="ListParagraph"/>
        <w:numPr>
          <w:ilvl w:val="0"/>
          <w:numId w:val="2"/>
        </w:numPr>
        <w:tabs>
          <w:tab w:val="left" w:pos="1530"/>
        </w:tabs>
        <w:spacing w:line="280" w:lineRule="exact"/>
        <w:ind w:left="900"/>
      </w:pPr>
      <w:hyperlink r:id="rId18">
        <w:r w:rsidR="00235D57">
          <w:rPr>
            <w:color w:val="0000FF"/>
            <w:u w:val="single" w:color="0000FF"/>
          </w:rPr>
          <w:t>WWEST Gender Diversity 101 White</w:t>
        </w:r>
        <w:r w:rsidR="00235D57">
          <w:rPr>
            <w:color w:val="0000FF"/>
            <w:spacing w:val="-2"/>
            <w:u w:val="single" w:color="0000FF"/>
          </w:rPr>
          <w:t xml:space="preserve"> </w:t>
        </w:r>
        <w:r w:rsidR="00235D57">
          <w:rPr>
            <w:color w:val="0000FF"/>
            <w:u w:val="single" w:color="0000FF"/>
          </w:rPr>
          <w:t>Papers</w:t>
        </w:r>
      </w:hyperlink>
    </w:p>
    <w:p w:rsidR="00813C50" w:rsidRDefault="009A7CAA" w:rsidP="003754A5">
      <w:pPr>
        <w:pStyle w:val="ListParagraph"/>
        <w:numPr>
          <w:ilvl w:val="0"/>
          <w:numId w:val="2"/>
        </w:numPr>
        <w:tabs>
          <w:tab w:val="left" w:pos="1530"/>
        </w:tabs>
        <w:spacing w:line="280" w:lineRule="exact"/>
        <w:ind w:left="900"/>
      </w:pPr>
      <w:hyperlink r:id="rId19">
        <w:r w:rsidR="00235D57">
          <w:rPr>
            <w:color w:val="0000FF"/>
            <w:u w:val="single" w:color="0000FF"/>
          </w:rPr>
          <w:t>Gender Summit Report: Toward a New</w:t>
        </w:r>
        <w:r w:rsidR="00235D57">
          <w:rPr>
            <w:color w:val="0000FF"/>
            <w:spacing w:val="-8"/>
            <w:u w:val="single" w:color="0000FF"/>
          </w:rPr>
          <w:t xml:space="preserve"> </w:t>
        </w:r>
        <w:r w:rsidR="00235D57">
          <w:rPr>
            <w:color w:val="0000FF"/>
            <w:u w:val="single" w:color="0000FF"/>
          </w:rPr>
          <w:t>Normal</w:t>
        </w:r>
      </w:hyperlink>
    </w:p>
    <w:p w:rsidR="00813C50" w:rsidRDefault="009A7CAA" w:rsidP="003754A5">
      <w:pPr>
        <w:pStyle w:val="ListParagraph"/>
        <w:numPr>
          <w:ilvl w:val="0"/>
          <w:numId w:val="2"/>
        </w:numPr>
        <w:tabs>
          <w:tab w:val="left" w:pos="1530"/>
        </w:tabs>
        <w:spacing w:line="280" w:lineRule="exact"/>
        <w:ind w:left="900"/>
      </w:pPr>
      <w:hyperlink r:id="rId20">
        <w:r w:rsidR="00235D57">
          <w:rPr>
            <w:color w:val="0000FF"/>
            <w:u w:val="single" w:color="0000FF"/>
          </w:rPr>
          <w:t>SFU Library EDI Resource</w:t>
        </w:r>
        <w:r w:rsidR="00235D57">
          <w:rPr>
            <w:color w:val="0000FF"/>
            <w:spacing w:val="-3"/>
            <w:u w:val="single" w:color="0000FF"/>
          </w:rPr>
          <w:t xml:space="preserve"> </w:t>
        </w:r>
        <w:r w:rsidR="00235D57">
          <w:rPr>
            <w:color w:val="0000FF"/>
            <w:u w:val="single" w:color="0000FF"/>
          </w:rPr>
          <w:t>Guide</w:t>
        </w:r>
      </w:hyperlink>
    </w:p>
    <w:p w:rsidR="00813C50" w:rsidRDefault="009A7CAA" w:rsidP="003754A5">
      <w:pPr>
        <w:pStyle w:val="ListParagraph"/>
        <w:numPr>
          <w:ilvl w:val="0"/>
          <w:numId w:val="2"/>
        </w:numPr>
        <w:tabs>
          <w:tab w:val="left" w:pos="1530"/>
        </w:tabs>
        <w:ind w:left="900"/>
      </w:pPr>
      <w:hyperlink r:id="rId21">
        <w:r w:rsidR="00235D57">
          <w:rPr>
            <w:color w:val="0000FF"/>
            <w:u w:val="single" w:color="0000FF"/>
          </w:rPr>
          <w:t>Unconscious Bias – Additional Resources (Status of Women</w:t>
        </w:r>
        <w:r w:rsidR="00235D57">
          <w:rPr>
            <w:color w:val="0000FF"/>
            <w:spacing w:val="-11"/>
            <w:u w:val="single" w:color="0000FF"/>
          </w:rPr>
          <w:t xml:space="preserve"> </w:t>
        </w:r>
        <w:r w:rsidR="00235D57">
          <w:rPr>
            <w:color w:val="0000FF"/>
            <w:u w:val="single" w:color="0000FF"/>
          </w:rPr>
          <w:t>Canada)</w:t>
        </w:r>
      </w:hyperlink>
    </w:p>
    <w:p w:rsidR="00813C50" w:rsidRDefault="00813C50">
      <w:pPr>
        <w:pStyle w:val="BodyText"/>
        <w:spacing w:before="1"/>
        <w:rPr>
          <w:sz w:val="14"/>
        </w:rPr>
      </w:pPr>
    </w:p>
    <w:p w:rsidR="00813C50" w:rsidRDefault="00235D57">
      <w:pPr>
        <w:pStyle w:val="BodyText"/>
        <w:spacing w:before="100"/>
        <w:ind w:left="100" w:right="95"/>
      </w:pPr>
      <w:r>
        <w:t>EDI considerations should inform the design of the proposed cluster activities (e.g.</w:t>
      </w:r>
      <w:r w:rsidR="00CE16FB">
        <w:t>,</w:t>
      </w:r>
      <w:r>
        <w:t xml:space="preserve"> cluster building, knowledge exchange events, training/mentorship) to ensure that team members/collaborators/partners have equal opportunities and access to resources</w:t>
      </w:r>
      <w:r w:rsidR="00544E28">
        <w:t>,</w:t>
      </w:r>
      <w:r>
        <w:t xml:space="preserve"> and feel </w:t>
      </w:r>
      <w:r>
        <w:lastRenderedPageBreak/>
        <w:t>they belong, are supported and integrated into the team. Strategies for ensuring inclusion and equitable treatment will vary depending on the nature of the proposed activities. Below are provided examples:</w:t>
      </w:r>
    </w:p>
    <w:p w:rsidR="00813C50" w:rsidRDefault="00235D57" w:rsidP="003754A5">
      <w:pPr>
        <w:pStyle w:val="ListParagraph"/>
        <w:numPr>
          <w:ilvl w:val="0"/>
          <w:numId w:val="2"/>
        </w:numPr>
        <w:tabs>
          <w:tab w:val="left" w:pos="1440"/>
        </w:tabs>
        <w:spacing w:before="3" w:line="237" w:lineRule="auto"/>
        <w:ind w:left="900" w:right="467"/>
      </w:pPr>
      <w:r>
        <w:t>Targeted leadership or professional development opportunities for graduate students</w:t>
      </w:r>
      <w:r>
        <w:rPr>
          <w:spacing w:val="-29"/>
        </w:rPr>
        <w:t xml:space="preserve"> </w:t>
      </w:r>
      <w:r>
        <w:t>or early career researchers from underrepresented groups;</w:t>
      </w:r>
    </w:p>
    <w:p w:rsidR="00813C50" w:rsidRDefault="00235D57" w:rsidP="003754A5">
      <w:pPr>
        <w:pStyle w:val="ListParagraph"/>
        <w:numPr>
          <w:ilvl w:val="0"/>
          <w:numId w:val="2"/>
        </w:numPr>
        <w:tabs>
          <w:tab w:val="left" w:pos="1180"/>
          <w:tab w:val="left" w:pos="1181"/>
        </w:tabs>
        <w:ind w:left="900" w:right="555"/>
      </w:pPr>
      <w:r>
        <w:t>Following best practices in</w:t>
      </w:r>
      <w:r>
        <w:rPr>
          <w:color w:val="0000FF"/>
        </w:rPr>
        <w:t xml:space="preserve"> </w:t>
      </w:r>
      <w:hyperlink r:id="rId22">
        <w:r>
          <w:rPr>
            <w:color w:val="0000FF"/>
            <w:u w:val="single" w:color="0000FF"/>
          </w:rPr>
          <w:t>inclusive and accessible event planning</w:t>
        </w:r>
        <w:r>
          <w:rPr>
            <w:color w:val="0000FF"/>
          </w:rPr>
          <w:t xml:space="preserve"> </w:t>
        </w:r>
      </w:hyperlink>
      <w:r>
        <w:t>and avoid</w:t>
      </w:r>
      <w:r>
        <w:rPr>
          <w:spacing w:val="-31"/>
        </w:rPr>
        <w:t xml:space="preserve"> </w:t>
      </w:r>
      <w:r>
        <w:t>scheduling cluster activities and knowledge exchange events on</w:t>
      </w:r>
      <w:hyperlink r:id="rId23">
        <w:r>
          <w:rPr>
            <w:color w:val="0000FF"/>
          </w:rPr>
          <w:t xml:space="preserve"> </w:t>
        </w:r>
        <w:r>
          <w:rPr>
            <w:color w:val="0000FF"/>
            <w:u w:val="single" w:color="0000FF"/>
          </w:rPr>
          <w:t>days of significance and religious</w:t>
        </w:r>
      </w:hyperlink>
      <w:hyperlink r:id="rId24">
        <w:r>
          <w:rPr>
            <w:color w:val="0000FF"/>
            <w:u w:val="single" w:color="0000FF"/>
          </w:rPr>
          <w:t xml:space="preserve"> holidays</w:t>
        </w:r>
        <w:r>
          <w:t>;</w:t>
        </w:r>
      </w:hyperlink>
    </w:p>
    <w:p w:rsidR="00813C50" w:rsidRDefault="00235D57" w:rsidP="003754A5">
      <w:pPr>
        <w:pStyle w:val="ListParagraph"/>
        <w:numPr>
          <w:ilvl w:val="0"/>
          <w:numId w:val="2"/>
        </w:numPr>
        <w:tabs>
          <w:tab w:val="left" w:pos="1180"/>
          <w:tab w:val="left" w:pos="1181"/>
        </w:tabs>
        <w:spacing w:before="2"/>
        <w:ind w:left="900" w:right="367"/>
      </w:pPr>
      <w:r>
        <w:t>Address</w:t>
      </w:r>
      <w:r>
        <w:rPr>
          <w:spacing w:val="1"/>
        </w:rPr>
        <w:t xml:space="preserve"> </w:t>
      </w:r>
      <w:r>
        <w:t>scheduling</w:t>
      </w:r>
      <w:r>
        <w:rPr>
          <w:spacing w:val="-3"/>
        </w:rPr>
        <w:t xml:space="preserve"> </w:t>
      </w:r>
      <w:r>
        <w:t>barriers</w:t>
      </w:r>
      <w:r>
        <w:rPr>
          <w:spacing w:val="-4"/>
        </w:rPr>
        <w:t xml:space="preserve"> </w:t>
      </w:r>
      <w:r>
        <w:t>by</w:t>
      </w:r>
      <w:r>
        <w:rPr>
          <w:spacing w:val="-4"/>
        </w:rPr>
        <w:t xml:space="preserve"> </w:t>
      </w:r>
      <w:r>
        <w:t>eliminating</w:t>
      </w:r>
      <w:r>
        <w:rPr>
          <w:spacing w:val="-1"/>
        </w:rPr>
        <w:t xml:space="preserve"> </w:t>
      </w:r>
      <w:r>
        <w:t>team</w:t>
      </w:r>
      <w:r>
        <w:rPr>
          <w:spacing w:val="-4"/>
        </w:rPr>
        <w:t xml:space="preserve"> </w:t>
      </w:r>
      <w:r>
        <w:t>meetings/events</w:t>
      </w:r>
      <w:r>
        <w:rPr>
          <w:spacing w:val="-4"/>
        </w:rPr>
        <w:t xml:space="preserve"> </w:t>
      </w:r>
      <w:r>
        <w:t>before</w:t>
      </w:r>
      <w:r>
        <w:rPr>
          <w:spacing w:val="-3"/>
        </w:rPr>
        <w:t xml:space="preserve"> </w:t>
      </w:r>
      <w:r>
        <w:t>9</w:t>
      </w:r>
      <w:r>
        <w:rPr>
          <w:spacing w:val="-4"/>
        </w:rPr>
        <w:t xml:space="preserve"> </w:t>
      </w:r>
      <w:r>
        <w:t>am</w:t>
      </w:r>
      <w:r>
        <w:rPr>
          <w:spacing w:val="-4"/>
        </w:rPr>
        <w:t xml:space="preserve"> </w:t>
      </w:r>
      <w:r>
        <w:t>and</w:t>
      </w:r>
      <w:r>
        <w:rPr>
          <w:spacing w:val="-4"/>
        </w:rPr>
        <w:t xml:space="preserve"> </w:t>
      </w:r>
      <w:r>
        <w:t>after</w:t>
      </w:r>
      <w:r>
        <w:rPr>
          <w:spacing w:val="-5"/>
        </w:rPr>
        <w:t xml:space="preserve"> </w:t>
      </w:r>
      <w:r>
        <w:t>4 pm to allow for the full participation of team members with childcare/family responsibilities;</w:t>
      </w:r>
    </w:p>
    <w:p w:rsidR="00813C50" w:rsidRDefault="00235D57" w:rsidP="003754A5">
      <w:pPr>
        <w:pStyle w:val="ListParagraph"/>
        <w:numPr>
          <w:ilvl w:val="0"/>
          <w:numId w:val="2"/>
        </w:numPr>
        <w:tabs>
          <w:tab w:val="left" w:pos="1180"/>
          <w:tab w:val="left" w:pos="1181"/>
        </w:tabs>
        <w:ind w:left="900" w:right="292"/>
      </w:pPr>
      <w:r>
        <w:t>Open events with a</w:t>
      </w:r>
      <w:r>
        <w:rPr>
          <w:color w:val="0000FF"/>
        </w:rPr>
        <w:t xml:space="preserve"> </w:t>
      </w:r>
      <w:hyperlink r:id="rId25">
        <w:r>
          <w:rPr>
            <w:color w:val="0000FF"/>
            <w:u w:val="single" w:color="0000FF"/>
          </w:rPr>
          <w:t>land acknowledgment</w:t>
        </w:r>
        <w:r>
          <w:rPr>
            <w:color w:val="0000FF"/>
          </w:rPr>
          <w:t xml:space="preserve"> </w:t>
        </w:r>
      </w:hyperlink>
      <w:r>
        <w:t>which recognizes that our cluster activities are taking</w:t>
      </w:r>
      <w:r>
        <w:rPr>
          <w:spacing w:val="-2"/>
        </w:rPr>
        <w:t xml:space="preserve"> </w:t>
      </w:r>
      <w:r>
        <w:t>place</w:t>
      </w:r>
      <w:r>
        <w:rPr>
          <w:spacing w:val="-2"/>
        </w:rPr>
        <w:t xml:space="preserve"> </w:t>
      </w:r>
      <w:r>
        <w:t>on</w:t>
      </w:r>
      <w:r>
        <w:rPr>
          <w:spacing w:val="-3"/>
        </w:rPr>
        <w:t xml:space="preserve"> </w:t>
      </w:r>
      <w:r>
        <w:t>the</w:t>
      </w:r>
      <w:r>
        <w:rPr>
          <w:spacing w:val="-2"/>
        </w:rPr>
        <w:t xml:space="preserve"> </w:t>
      </w:r>
      <w:r>
        <w:t>territory</w:t>
      </w:r>
      <w:r>
        <w:rPr>
          <w:spacing w:val="-2"/>
        </w:rPr>
        <w:t xml:space="preserve"> </w:t>
      </w:r>
      <w:r>
        <w:t>of</w:t>
      </w:r>
      <w:r>
        <w:rPr>
          <w:spacing w:val="-5"/>
        </w:rPr>
        <w:t xml:space="preserve"> </w:t>
      </w:r>
      <w:r>
        <w:t>the</w:t>
      </w:r>
      <w:r>
        <w:rPr>
          <w:spacing w:val="-3"/>
        </w:rPr>
        <w:t xml:space="preserve"> </w:t>
      </w:r>
      <w:r>
        <w:t>Indigenous</w:t>
      </w:r>
      <w:r>
        <w:rPr>
          <w:spacing w:val="-3"/>
        </w:rPr>
        <w:t xml:space="preserve"> </w:t>
      </w:r>
      <w:r>
        <w:t>people</w:t>
      </w:r>
      <w:r>
        <w:rPr>
          <w:spacing w:val="3"/>
        </w:rPr>
        <w:t xml:space="preserve"> </w:t>
      </w:r>
      <w:r>
        <w:t>who</w:t>
      </w:r>
      <w:r>
        <w:rPr>
          <w:spacing w:val="-3"/>
        </w:rPr>
        <w:t xml:space="preserve"> </w:t>
      </w:r>
      <w:r>
        <w:t>call</w:t>
      </w:r>
      <w:r>
        <w:rPr>
          <w:spacing w:val="-2"/>
        </w:rPr>
        <w:t xml:space="preserve"> </w:t>
      </w:r>
      <w:r>
        <w:t>the</w:t>
      </w:r>
      <w:r>
        <w:rPr>
          <w:spacing w:val="-2"/>
        </w:rPr>
        <w:t xml:space="preserve"> </w:t>
      </w:r>
      <w:r>
        <w:t>land</w:t>
      </w:r>
      <w:r>
        <w:rPr>
          <w:spacing w:val="-4"/>
        </w:rPr>
        <w:t xml:space="preserve"> </w:t>
      </w:r>
      <w:r>
        <w:t>home</w:t>
      </w:r>
      <w:r>
        <w:rPr>
          <w:spacing w:val="-2"/>
        </w:rPr>
        <w:t xml:space="preserve"> </w:t>
      </w:r>
      <w:r>
        <w:t>or</w:t>
      </w:r>
      <w:r>
        <w:rPr>
          <w:spacing w:val="-4"/>
        </w:rPr>
        <w:t xml:space="preserve"> </w:t>
      </w:r>
      <w:r>
        <w:t>called</w:t>
      </w:r>
      <w:r>
        <w:rPr>
          <w:spacing w:val="-2"/>
        </w:rPr>
        <w:t xml:space="preserve"> </w:t>
      </w:r>
      <w:r>
        <w:t>the land home before the arrival of</w:t>
      </w:r>
      <w:r>
        <w:rPr>
          <w:spacing w:val="-5"/>
        </w:rPr>
        <w:t xml:space="preserve"> </w:t>
      </w:r>
      <w:r>
        <w:t>settlers</w:t>
      </w:r>
    </w:p>
    <w:p w:rsidR="00813C50" w:rsidRDefault="00813C50">
      <w:pPr>
        <w:pStyle w:val="BodyText"/>
        <w:spacing w:before="11"/>
        <w:rPr>
          <w:sz w:val="21"/>
        </w:rPr>
      </w:pPr>
    </w:p>
    <w:p w:rsidR="00813C50" w:rsidRDefault="00235D57">
      <w:pPr>
        <w:pStyle w:val="BodyText"/>
        <w:ind w:left="100" w:right="302"/>
        <w:jc w:val="both"/>
      </w:pPr>
      <w:r>
        <w:t>Depending on their proposed activities, clusters may also find it useful to consult with Associate Deans of Equity, the Senior Advisor to the Provost on Racialized Faculty, the Senior Advisor to the Provost on Women Faculty, and/or the Senior Advisor to the President on Indigenous Affairs.</w:t>
      </w:r>
    </w:p>
    <w:p w:rsidR="00813C50" w:rsidRDefault="00813C50">
      <w:pPr>
        <w:pStyle w:val="BodyText"/>
        <w:spacing w:before="6"/>
        <w:rPr>
          <w:sz w:val="25"/>
        </w:rPr>
      </w:pPr>
    </w:p>
    <w:p w:rsidR="00813C50" w:rsidRDefault="00235D57">
      <w:pPr>
        <w:pStyle w:val="Heading2"/>
        <w:jc w:val="both"/>
      </w:pPr>
      <w:bookmarkStart w:id="6" w:name="Research_Themes:"/>
      <w:bookmarkEnd w:id="6"/>
      <w:r>
        <w:rPr>
          <w:color w:val="1F3762"/>
        </w:rPr>
        <w:t xml:space="preserve">Research </w:t>
      </w:r>
      <w:r w:rsidR="007E1F34">
        <w:rPr>
          <w:color w:val="1F3762"/>
        </w:rPr>
        <w:t>Resources</w:t>
      </w:r>
      <w:r>
        <w:rPr>
          <w:color w:val="1F3762"/>
        </w:rPr>
        <w:t>:</w:t>
      </w:r>
    </w:p>
    <w:p w:rsidR="00813C50" w:rsidRDefault="00235D57" w:rsidP="003754A5">
      <w:pPr>
        <w:pStyle w:val="BodyText"/>
        <w:spacing w:before="1"/>
        <w:ind w:left="100" w:right="142"/>
        <w:rPr>
          <w:sz w:val="21"/>
        </w:rPr>
      </w:pPr>
      <w:r>
        <w:t>A growing body of literature demonstrates that considering diversity has the potential to make research more innovative, rigorous, ethically sound and societally relevant. It is therefore recommended that clusters consider whether and how EDI considerations are relevant to their research. In doing so, clusters may find it helpful to review the following online resources:</w:t>
      </w:r>
    </w:p>
    <w:p w:rsidR="00813C50" w:rsidRDefault="00235D57">
      <w:pPr>
        <w:pStyle w:val="ListParagraph"/>
        <w:numPr>
          <w:ilvl w:val="0"/>
          <w:numId w:val="1"/>
        </w:numPr>
        <w:tabs>
          <w:tab w:val="left" w:pos="820"/>
          <w:tab w:val="left" w:pos="821"/>
        </w:tabs>
      </w:pPr>
      <w:r w:rsidRPr="003754A5">
        <w:rPr>
          <w:b/>
        </w:rPr>
        <w:t>Gender-based analysis plus (GBA+)</w:t>
      </w:r>
      <w:r w:rsidR="00912854">
        <w:t xml:space="preserve"> is an analytical process that uses critical questions and engagement to determine </w:t>
      </w:r>
      <w:r w:rsidR="00912854" w:rsidRPr="00912854">
        <w:t>how diverse groups of women, men and non-binary people may experience research outcomes (</w:t>
      </w:r>
      <w:r w:rsidR="00912854">
        <w:t xml:space="preserve">i.e., </w:t>
      </w:r>
      <w:r w:rsidR="00912854" w:rsidRPr="00912854">
        <w:t xml:space="preserve">policies, programs </w:t>
      </w:r>
      <w:r w:rsidR="00912854">
        <w:t xml:space="preserve">and </w:t>
      </w:r>
      <w:r w:rsidR="00912854" w:rsidRPr="00912854">
        <w:t>initiatives)</w:t>
      </w:r>
      <w:r w:rsidR="00912854">
        <w:t>; “+” indicates going beyond gender.</w:t>
      </w:r>
    </w:p>
    <w:p w:rsidR="00813C50" w:rsidRDefault="009A7CAA">
      <w:pPr>
        <w:pStyle w:val="ListParagraph"/>
        <w:numPr>
          <w:ilvl w:val="1"/>
          <w:numId w:val="1"/>
        </w:numPr>
        <w:tabs>
          <w:tab w:val="left" w:pos="1540"/>
          <w:tab w:val="left" w:pos="1541"/>
        </w:tabs>
        <w:spacing w:before="2" w:line="273" w:lineRule="exact"/>
      </w:pPr>
      <w:hyperlink r:id="rId26">
        <w:r w:rsidR="00235D57">
          <w:rPr>
            <w:color w:val="0000FF"/>
            <w:u w:val="single" w:color="0000FF"/>
          </w:rPr>
          <w:t>What is GBA+</w:t>
        </w:r>
        <w:r w:rsidR="00235D57">
          <w:rPr>
            <w:color w:val="0000FF"/>
          </w:rPr>
          <w:t xml:space="preserve"> </w:t>
        </w:r>
      </w:hyperlink>
      <w:r w:rsidR="00235D57">
        <w:t>(Status of Women</w:t>
      </w:r>
      <w:r w:rsidR="00235D57">
        <w:rPr>
          <w:spacing w:val="-6"/>
        </w:rPr>
        <w:t xml:space="preserve"> </w:t>
      </w:r>
      <w:r w:rsidR="00235D57">
        <w:t>Canada)</w:t>
      </w:r>
    </w:p>
    <w:p w:rsidR="00813C50" w:rsidRDefault="009A7CAA" w:rsidP="003754A5">
      <w:pPr>
        <w:pStyle w:val="ListParagraph"/>
        <w:numPr>
          <w:ilvl w:val="1"/>
          <w:numId w:val="1"/>
        </w:numPr>
        <w:tabs>
          <w:tab w:val="left" w:pos="1540"/>
          <w:tab w:val="left" w:pos="1541"/>
        </w:tabs>
        <w:spacing w:after="120" w:line="269" w:lineRule="exact"/>
      </w:pPr>
      <w:hyperlink r:id="rId27">
        <w:r w:rsidR="00235D57">
          <w:rPr>
            <w:color w:val="0000FF"/>
            <w:u w:val="single" w:color="0000FF"/>
          </w:rPr>
          <w:t>Introduction to GBA+ Online Course</w:t>
        </w:r>
        <w:r w:rsidR="00235D57">
          <w:rPr>
            <w:color w:val="0000FF"/>
          </w:rPr>
          <w:t xml:space="preserve"> </w:t>
        </w:r>
      </w:hyperlink>
      <w:r w:rsidR="00235D57">
        <w:t>(Status of Women</w:t>
      </w:r>
      <w:r w:rsidR="00235D57">
        <w:rPr>
          <w:spacing w:val="-3"/>
        </w:rPr>
        <w:t xml:space="preserve"> </w:t>
      </w:r>
      <w:r w:rsidR="00235D57">
        <w:t>Canada)</w:t>
      </w:r>
    </w:p>
    <w:p w:rsidR="00813C50" w:rsidRPr="003754A5" w:rsidRDefault="00235D57">
      <w:pPr>
        <w:pStyle w:val="ListParagraph"/>
        <w:numPr>
          <w:ilvl w:val="0"/>
          <w:numId w:val="1"/>
        </w:numPr>
        <w:tabs>
          <w:tab w:val="left" w:pos="820"/>
          <w:tab w:val="left" w:pos="821"/>
        </w:tabs>
        <w:spacing w:line="277" w:lineRule="exact"/>
        <w:rPr>
          <w:b/>
        </w:rPr>
      </w:pPr>
      <w:r w:rsidRPr="003754A5">
        <w:rPr>
          <w:b/>
        </w:rPr>
        <w:t>Sex and gender-based analysis plus</w:t>
      </w:r>
      <w:r w:rsidRPr="003754A5">
        <w:rPr>
          <w:b/>
          <w:spacing w:val="-6"/>
        </w:rPr>
        <w:t xml:space="preserve"> </w:t>
      </w:r>
      <w:r w:rsidRPr="003754A5">
        <w:rPr>
          <w:b/>
        </w:rPr>
        <w:t>(SGBA+)</w:t>
      </w:r>
    </w:p>
    <w:p w:rsidR="00813C50" w:rsidRDefault="009A7CAA" w:rsidP="003754A5">
      <w:pPr>
        <w:pStyle w:val="ListParagraph"/>
        <w:numPr>
          <w:ilvl w:val="1"/>
          <w:numId w:val="1"/>
        </w:numPr>
        <w:tabs>
          <w:tab w:val="left" w:pos="1540"/>
          <w:tab w:val="left" w:pos="1541"/>
        </w:tabs>
        <w:spacing w:before="9" w:line="230" w:lineRule="auto"/>
        <w:ind w:right="792"/>
      </w:pPr>
      <w:hyperlink r:id="rId28">
        <w:r w:rsidR="00235D57">
          <w:rPr>
            <w:color w:val="0000FF"/>
            <w:u w:val="single" w:color="0000FF"/>
          </w:rPr>
          <w:t>Gender Innovations in Science, Health &amp; medicine, Engineering and</w:t>
        </w:r>
        <w:r w:rsidR="00235D57">
          <w:rPr>
            <w:color w:val="0000FF"/>
            <w:spacing w:val="-28"/>
            <w:u w:val="single" w:color="0000FF"/>
          </w:rPr>
          <w:t xml:space="preserve"> </w:t>
        </w:r>
        <w:r w:rsidR="00235D57">
          <w:rPr>
            <w:color w:val="0000FF"/>
            <w:u w:val="single" w:color="0000FF"/>
          </w:rPr>
          <w:t>Environment</w:t>
        </w:r>
      </w:hyperlink>
      <w:r w:rsidR="00235D57">
        <w:t xml:space="preserve"> (Stanford</w:t>
      </w:r>
      <w:r w:rsidR="00235D57">
        <w:rPr>
          <w:spacing w:val="-2"/>
        </w:rPr>
        <w:t xml:space="preserve"> </w:t>
      </w:r>
      <w:r w:rsidR="00235D57">
        <w:t>University)</w:t>
      </w:r>
    </w:p>
    <w:p w:rsidR="00813C50" w:rsidRDefault="009A7CAA" w:rsidP="003754A5">
      <w:pPr>
        <w:pStyle w:val="ListParagraph"/>
        <w:numPr>
          <w:ilvl w:val="1"/>
          <w:numId w:val="1"/>
        </w:numPr>
        <w:tabs>
          <w:tab w:val="left" w:pos="1590"/>
          <w:tab w:val="left" w:pos="1591"/>
        </w:tabs>
        <w:spacing w:after="120" w:line="272" w:lineRule="exact"/>
        <w:ind w:left="1584" w:hanging="403"/>
      </w:pPr>
      <w:hyperlink r:id="rId29">
        <w:r w:rsidR="00235D57">
          <w:rPr>
            <w:color w:val="0000FF"/>
            <w:u w:val="single" w:color="0000FF"/>
          </w:rPr>
          <w:t>How to integrate sex and gender into research</w:t>
        </w:r>
        <w:r w:rsidR="00235D57">
          <w:rPr>
            <w:color w:val="0000FF"/>
            <w:spacing w:val="-7"/>
          </w:rPr>
          <w:t xml:space="preserve"> </w:t>
        </w:r>
      </w:hyperlink>
      <w:r w:rsidR="00235D57">
        <w:t>(CIHR)</w:t>
      </w:r>
    </w:p>
    <w:p w:rsidR="00813C50" w:rsidRPr="003754A5" w:rsidRDefault="00235D57">
      <w:pPr>
        <w:pStyle w:val="ListParagraph"/>
        <w:numPr>
          <w:ilvl w:val="0"/>
          <w:numId w:val="1"/>
        </w:numPr>
        <w:tabs>
          <w:tab w:val="left" w:pos="820"/>
          <w:tab w:val="left" w:pos="821"/>
        </w:tabs>
        <w:spacing w:line="277" w:lineRule="exact"/>
        <w:rPr>
          <w:b/>
        </w:rPr>
      </w:pPr>
      <w:r w:rsidRPr="003754A5">
        <w:rPr>
          <w:b/>
        </w:rPr>
        <w:lastRenderedPageBreak/>
        <w:t>Intersectionality</w:t>
      </w:r>
      <w:r w:rsidR="00912854">
        <w:rPr>
          <w:b/>
        </w:rPr>
        <w:t xml:space="preserve"> </w:t>
      </w:r>
      <w:r w:rsidR="00912854">
        <w:t xml:space="preserve">is </w:t>
      </w:r>
      <w:r w:rsidR="00827327">
        <w:t xml:space="preserve">an approach </w:t>
      </w:r>
      <w:r w:rsidR="00912854" w:rsidRPr="00912854">
        <w:t>used by researchers to better understand and address the multiple barriers and disadvantages that individuals with intersecting social identities, such as race, gender, sexuality and class.</w:t>
      </w:r>
    </w:p>
    <w:p w:rsidR="00813C50" w:rsidRDefault="009A7CAA">
      <w:pPr>
        <w:pStyle w:val="ListParagraph"/>
        <w:numPr>
          <w:ilvl w:val="1"/>
          <w:numId w:val="1"/>
        </w:numPr>
        <w:tabs>
          <w:tab w:val="left" w:pos="1540"/>
          <w:tab w:val="left" w:pos="1541"/>
        </w:tabs>
        <w:spacing w:before="5" w:line="235" w:lineRule="auto"/>
        <w:ind w:right="1324"/>
      </w:pPr>
      <w:hyperlink r:id="rId30">
        <w:r w:rsidR="00235D57">
          <w:rPr>
            <w:color w:val="0000FF"/>
            <w:u w:val="single" w:color="0000FF"/>
          </w:rPr>
          <w:t>Intersectionality-informed Qualitative Research: A Primer</w:t>
        </w:r>
        <w:r w:rsidR="00235D57">
          <w:rPr>
            <w:color w:val="0000FF"/>
          </w:rPr>
          <w:t xml:space="preserve"> </w:t>
        </w:r>
      </w:hyperlink>
      <w:r w:rsidR="00235D57">
        <w:t>(The Institute</w:t>
      </w:r>
      <w:r w:rsidR="00235D57">
        <w:rPr>
          <w:spacing w:val="-28"/>
        </w:rPr>
        <w:t xml:space="preserve"> </w:t>
      </w:r>
      <w:r w:rsidR="00235D57">
        <w:t>for Intersectionality Research &amp; Policy,</w:t>
      </w:r>
      <w:r w:rsidR="00235D57">
        <w:rPr>
          <w:spacing w:val="-3"/>
        </w:rPr>
        <w:t xml:space="preserve"> </w:t>
      </w:r>
      <w:r w:rsidR="00235D57">
        <w:t>SFU)</w:t>
      </w:r>
    </w:p>
    <w:p w:rsidR="00827327" w:rsidRDefault="009A7CAA" w:rsidP="00827327">
      <w:pPr>
        <w:pStyle w:val="ListParagraph"/>
        <w:numPr>
          <w:ilvl w:val="1"/>
          <w:numId w:val="1"/>
        </w:numPr>
        <w:tabs>
          <w:tab w:val="left" w:pos="1540"/>
          <w:tab w:val="left" w:pos="1541"/>
        </w:tabs>
        <w:spacing w:before="2" w:line="235" w:lineRule="auto"/>
        <w:ind w:right="1184"/>
      </w:pPr>
      <w:hyperlink r:id="rId31">
        <w:r w:rsidR="00235D57">
          <w:rPr>
            <w:color w:val="0000FF"/>
            <w:u w:val="single" w:color="0000FF"/>
          </w:rPr>
          <w:t>Intersectionality-informed Quantitative Research: A Primer</w:t>
        </w:r>
        <w:r w:rsidR="00235D57">
          <w:rPr>
            <w:color w:val="0000FF"/>
          </w:rPr>
          <w:t xml:space="preserve"> </w:t>
        </w:r>
      </w:hyperlink>
      <w:r w:rsidR="00235D57">
        <w:t>(The Institute</w:t>
      </w:r>
      <w:r w:rsidR="00235D57">
        <w:rPr>
          <w:spacing w:val="-28"/>
        </w:rPr>
        <w:t xml:space="preserve"> </w:t>
      </w:r>
      <w:r w:rsidR="00235D57">
        <w:t>for Intersectionality Research &amp; Policy,</w:t>
      </w:r>
      <w:r w:rsidR="00235D57">
        <w:rPr>
          <w:spacing w:val="-3"/>
        </w:rPr>
        <w:t xml:space="preserve"> </w:t>
      </w:r>
      <w:r w:rsidR="00235D57">
        <w:t>SFU)</w:t>
      </w:r>
    </w:p>
    <w:p w:rsidR="00912854" w:rsidRPr="003754A5" w:rsidRDefault="009A7CAA" w:rsidP="003754A5">
      <w:pPr>
        <w:pStyle w:val="ListParagraph"/>
        <w:numPr>
          <w:ilvl w:val="1"/>
          <w:numId w:val="1"/>
        </w:numPr>
        <w:tabs>
          <w:tab w:val="left" w:pos="1540"/>
          <w:tab w:val="left" w:pos="1541"/>
        </w:tabs>
        <w:spacing w:before="2" w:after="120" w:line="235" w:lineRule="auto"/>
        <w:ind w:right="1181"/>
        <w:rPr>
          <w:rFonts w:asciiTheme="minorHAnsi" w:hAnsiTheme="minorHAnsi" w:cstheme="minorHAnsi"/>
        </w:rPr>
      </w:pPr>
      <w:hyperlink r:id="rId32" w:history="1">
        <w:r w:rsidR="00912854" w:rsidRPr="003754A5">
          <w:rPr>
            <w:rStyle w:val="Hyperlink"/>
            <w:rFonts w:asciiTheme="minorHAnsi" w:hAnsiTheme="minorHAnsi" w:cstheme="minorHAnsi"/>
          </w:rPr>
          <w:t>Intersectionality: From Theory to Practice</w:t>
        </w:r>
      </w:hyperlink>
      <w:r w:rsidR="00912854" w:rsidRPr="003754A5">
        <w:rPr>
          <w:rFonts w:asciiTheme="minorHAnsi" w:hAnsiTheme="minorHAnsi" w:cstheme="minorHAnsi"/>
        </w:rPr>
        <w:t xml:space="preserve">. </w:t>
      </w:r>
      <w:proofErr w:type="spellStart"/>
      <w:r w:rsidR="00912854" w:rsidRPr="003754A5">
        <w:rPr>
          <w:rFonts w:asciiTheme="minorHAnsi" w:eastAsia="Times New Roman" w:hAnsiTheme="minorHAnsi" w:cstheme="minorHAnsi"/>
          <w:color w:val="333333"/>
          <w:lang w:bidi="ar-SA"/>
        </w:rPr>
        <w:t>Hajer</w:t>
      </w:r>
      <w:proofErr w:type="spellEnd"/>
      <w:r w:rsidR="00912854" w:rsidRPr="003754A5">
        <w:rPr>
          <w:rFonts w:asciiTheme="minorHAnsi" w:eastAsia="Times New Roman" w:hAnsiTheme="minorHAnsi" w:cstheme="minorHAnsi"/>
          <w:color w:val="333333"/>
          <w:lang w:bidi="ar-SA"/>
        </w:rPr>
        <w:t xml:space="preserve"> Al-</w:t>
      </w:r>
      <w:proofErr w:type="spellStart"/>
      <w:r w:rsidR="00912854" w:rsidRPr="003754A5">
        <w:rPr>
          <w:rFonts w:asciiTheme="minorHAnsi" w:eastAsia="Times New Roman" w:hAnsiTheme="minorHAnsi" w:cstheme="minorHAnsi"/>
          <w:color w:val="333333"/>
          <w:lang w:bidi="ar-SA"/>
        </w:rPr>
        <w:t>Faham</w:t>
      </w:r>
      <w:proofErr w:type="spellEnd"/>
      <w:r w:rsidR="00912854" w:rsidRPr="003754A5">
        <w:rPr>
          <w:rFonts w:asciiTheme="minorHAnsi" w:eastAsia="Times New Roman" w:hAnsiTheme="minorHAnsi" w:cstheme="minorHAnsi"/>
          <w:color w:val="333333"/>
          <w:lang w:bidi="ar-SA"/>
        </w:rPr>
        <w:t>,</w:t>
      </w:r>
      <w:r w:rsidR="00827327" w:rsidRPr="003754A5">
        <w:rPr>
          <w:rFonts w:asciiTheme="minorHAnsi" w:eastAsia="Times New Roman" w:hAnsiTheme="minorHAnsi" w:cstheme="minorHAnsi"/>
          <w:color w:val="333333"/>
          <w:lang w:bidi="ar-SA"/>
        </w:rPr>
        <w:t xml:space="preserve"> </w:t>
      </w:r>
      <w:r w:rsidR="00912854" w:rsidRPr="003754A5">
        <w:rPr>
          <w:rFonts w:asciiTheme="minorHAnsi" w:eastAsia="Times New Roman" w:hAnsiTheme="minorHAnsi" w:cstheme="minorHAnsi"/>
          <w:color w:val="333333"/>
          <w:lang w:bidi="ar-SA"/>
        </w:rPr>
        <w:t>Angelique M. Davis,</w:t>
      </w:r>
      <w:r w:rsidR="00827327" w:rsidRPr="003754A5">
        <w:rPr>
          <w:rFonts w:asciiTheme="minorHAnsi" w:eastAsia="Times New Roman" w:hAnsiTheme="minorHAnsi" w:cstheme="minorHAnsi"/>
          <w:color w:val="333333"/>
          <w:lang w:bidi="ar-SA"/>
        </w:rPr>
        <w:t xml:space="preserve"> </w:t>
      </w:r>
      <w:r w:rsidR="00912854" w:rsidRPr="003754A5">
        <w:rPr>
          <w:rFonts w:asciiTheme="minorHAnsi" w:eastAsia="Times New Roman" w:hAnsiTheme="minorHAnsi" w:cstheme="minorHAnsi"/>
          <w:color w:val="333333"/>
          <w:lang w:bidi="ar-SA"/>
        </w:rPr>
        <w:t>Rose Ernst</w:t>
      </w:r>
      <w:r w:rsidR="00827327">
        <w:rPr>
          <w:rFonts w:asciiTheme="minorHAnsi" w:eastAsia="Times New Roman" w:hAnsiTheme="minorHAnsi" w:cstheme="minorHAnsi"/>
          <w:color w:val="333333"/>
          <w:lang w:bidi="ar-SA"/>
        </w:rPr>
        <w:t>.</w:t>
      </w:r>
      <w:r w:rsidR="00827327" w:rsidRPr="003754A5">
        <w:rPr>
          <w:rFonts w:asciiTheme="minorHAnsi" w:eastAsia="Times New Roman" w:hAnsiTheme="minorHAnsi" w:cstheme="minorHAnsi"/>
          <w:color w:val="333333"/>
          <w:lang w:bidi="ar-SA"/>
        </w:rPr>
        <w:t xml:space="preserve"> </w:t>
      </w:r>
      <w:r w:rsidR="00912854" w:rsidRPr="003754A5">
        <w:rPr>
          <w:rFonts w:asciiTheme="minorHAnsi" w:eastAsia="Times New Roman" w:hAnsiTheme="minorHAnsi" w:cstheme="minorHAnsi"/>
          <w:i/>
          <w:color w:val="333333"/>
          <w:shd w:val="clear" w:color="auto" w:fill="FFFFFF"/>
          <w:lang w:bidi="ar-SA"/>
        </w:rPr>
        <w:t>Annual Review of Law and Soci</w:t>
      </w:r>
      <w:r w:rsidR="00827327" w:rsidRPr="003754A5">
        <w:rPr>
          <w:rFonts w:asciiTheme="minorHAnsi" w:eastAsia="Times New Roman" w:hAnsiTheme="minorHAnsi" w:cstheme="minorHAnsi"/>
          <w:i/>
          <w:color w:val="333333"/>
          <w:shd w:val="clear" w:color="auto" w:fill="FFFFFF"/>
          <w:lang w:bidi="ar-SA"/>
        </w:rPr>
        <w:t xml:space="preserve">al </w:t>
      </w:r>
      <w:r w:rsidR="00912854" w:rsidRPr="003754A5">
        <w:rPr>
          <w:rFonts w:asciiTheme="minorHAnsi" w:eastAsia="Times New Roman" w:hAnsiTheme="minorHAnsi" w:cstheme="minorHAnsi"/>
          <w:i/>
          <w:color w:val="333333"/>
          <w:shd w:val="clear" w:color="auto" w:fill="FFFFFF"/>
          <w:lang w:bidi="ar-SA"/>
        </w:rPr>
        <w:t>Science</w:t>
      </w:r>
      <w:r w:rsidR="00827327" w:rsidRPr="003754A5">
        <w:rPr>
          <w:rFonts w:asciiTheme="minorHAnsi" w:eastAsia="Times New Roman" w:hAnsiTheme="minorHAnsi" w:cstheme="minorHAnsi"/>
          <w:color w:val="333333"/>
          <w:shd w:val="clear" w:color="auto" w:fill="FFFFFF"/>
          <w:lang w:bidi="ar-SA"/>
        </w:rPr>
        <w:t xml:space="preserve"> </w:t>
      </w:r>
      <w:r w:rsidR="00827327">
        <w:rPr>
          <w:rFonts w:asciiTheme="minorHAnsi" w:eastAsia="Times New Roman" w:hAnsiTheme="minorHAnsi" w:cstheme="minorHAnsi"/>
          <w:color w:val="333333"/>
          <w:shd w:val="clear" w:color="auto" w:fill="FFFFFF"/>
          <w:lang w:bidi="ar-SA"/>
        </w:rPr>
        <w:t>(</w:t>
      </w:r>
      <w:r w:rsidR="00912854" w:rsidRPr="003754A5">
        <w:rPr>
          <w:rFonts w:asciiTheme="minorHAnsi" w:eastAsia="Times New Roman" w:hAnsiTheme="minorHAnsi" w:cstheme="minorHAnsi"/>
          <w:color w:val="333333"/>
          <w:shd w:val="clear" w:color="auto" w:fill="FFFFFF"/>
          <w:lang w:bidi="ar-SA"/>
        </w:rPr>
        <w:t>2019</w:t>
      </w:r>
      <w:r w:rsidR="00827327">
        <w:rPr>
          <w:rFonts w:asciiTheme="minorHAnsi" w:eastAsia="Times New Roman" w:hAnsiTheme="minorHAnsi" w:cstheme="minorHAnsi"/>
          <w:color w:val="333333"/>
          <w:shd w:val="clear" w:color="auto" w:fill="FFFFFF"/>
          <w:lang w:bidi="ar-SA"/>
        </w:rPr>
        <w:t>)</w:t>
      </w:r>
      <w:r w:rsidR="00827327" w:rsidRPr="003754A5">
        <w:rPr>
          <w:rFonts w:asciiTheme="minorHAnsi" w:eastAsia="Times New Roman" w:hAnsiTheme="minorHAnsi" w:cstheme="minorHAnsi"/>
          <w:color w:val="333333"/>
          <w:shd w:val="clear" w:color="auto" w:fill="FFFFFF"/>
          <w:lang w:bidi="ar-SA"/>
        </w:rPr>
        <w:t xml:space="preserve"> </w:t>
      </w:r>
      <w:r w:rsidR="00912854" w:rsidRPr="003754A5">
        <w:rPr>
          <w:rFonts w:asciiTheme="minorHAnsi" w:eastAsia="Times New Roman" w:hAnsiTheme="minorHAnsi" w:cstheme="minorHAnsi"/>
          <w:color w:val="333333"/>
          <w:shd w:val="clear" w:color="auto" w:fill="FFFFFF"/>
          <w:lang w:bidi="ar-SA"/>
        </w:rPr>
        <w:t>15:1,</w:t>
      </w:r>
      <w:r w:rsidR="00827327" w:rsidRPr="003754A5">
        <w:rPr>
          <w:rFonts w:asciiTheme="minorHAnsi" w:eastAsia="Times New Roman" w:hAnsiTheme="minorHAnsi" w:cstheme="minorHAnsi"/>
          <w:color w:val="333333"/>
          <w:shd w:val="clear" w:color="auto" w:fill="FFFFFF"/>
          <w:lang w:bidi="ar-SA"/>
        </w:rPr>
        <w:t xml:space="preserve"> </w:t>
      </w:r>
      <w:r w:rsidR="00912854" w:rsidRPr="003754A5">
        <w:rPr>
          <w:rFonts w:asciiTheme="minorHAnsi" w:eastAsia="Times New Roman" w:hAnsiTheme="minorHAnsi" w:cstheme="minorHAnsi"/>
          <w:color w:val="333333"/>
          <w:shd w:val="clear" w:color="auto" w:fill="FFFFFF"/>
          <w:lang w:bidi="ar-SA"/>
        </w:rPr>
        <w:t>247-265</w:t>
      </w:r>
      <w:r w:rsidR="00827327" w:rsidRPr="003754A5">
        <w:rPr>
          <w:rFonts w:asciiTheme="minorHAnsi" w:eastAsia="Times New Roman" w:hAnsiTheme="minorHAnsi" w:cstheme="minorHAnsi"/>
          <w:color w:val="333333"/>
          <w:shd w:val="clear" w:color="auto" w:fill="FFFFFF"/>
          <w:lang w:bidi="ar-SA"/>
        </w:rPr>
        <w:t>.</w:t>
      </w:r>
    </w:p>
    <w:p w:rsidR="00813C50" w:rsidRDefault="00235D57">
      <w:pPr>
        <w:pStyle w:val="ListParagraph"/>
        <w:numPr>
          <w:ilvl w:val="0"/>
          <w:numId w:val="1"/>
        </w:numPr>
        <w:tabs>
          <w:tab w:val="left" w:pos="820"/>
          <w:tab w:val="left" w:pos="821"/>
        </w:tabs>
        <w:spacing w:before="1"/>
        <w:rPr>
          <w:b/>
        </w:rPr>
      </w:pPr>
      <w:r w:rsidRPr="003754A5">
        <w:rPr>
          <w:b/>
        </w:rPr>
        <w:t>Indigenous</w:t>
      </w:r>
      <w:r w:rsidRPr="003754A5">
        <w:rPr>
          <w:b/>
          <w:spacing w:val="-3"/>
        </w:rPr>
        <w:t xml:space="preserve"> </w:t>
      </w:r>
      <w:r w:rsidRPr="003754A5">
        <w:rPr>
          <w:b/>
        </w:rPr>
        <w:t>Research</w:t>
      </w:r>
    </w:p>
    <w:p w:rsidR="00827327" w:rsidRPr="003754A5" w:rsidRDefault="00827327" w:rsidP="003754A5">
      <w:pPr>
        <w:tabs>
          <w:tab w:val="left" w:pos="820"/>
          <w:tab w:val="left" w:pos="821"/>
        </w:tabs>
        <w:spacing w:before="1"/>
        <w:ind w:left="820"/>
        <w:rPr>
          <w:b/>
        </w:rPr>
      </w:pPr>
      <w:r w:rsidRPr="00585E78">
        <w:rPr>
          <w:rFonts w:asciiTheme="minorHAnsi" w:hAnsiTheme="minorHAnsi" w:cs="Times New Roman"/>
          <w:bCs/>
        </w:rPr>
        <w:t xml:space="preserve">Engaging with Indigenous Peoples </w:t>
      </w:r>
      <w:r>
        <w:rPr>
          <w:rFonts w:asciiTheme="minorHAnsi" w:hAnsiTheme="minorHAnsi" w:cs="Times New Roman"/>
          <w:bCs/>
        </w:rPr>
        <w:t>with respect and dignity will lead to relationship-driven partnerships</w:t>
      </w:r>
      <w:r w:rsidRPr="00585E78">
        <w:rPr>
          <w:rFonts w:asciiTheme="minorHAnsi" w:hAnsiTheme="minorHAnsi" w:cs="Times New Roman"/>
          <w:bCs/>
        </w:rPr>
        <w:t xml:space="preserve">. </w:t>
      </w:r>
      <w:r>
        <w:rPr>
          <w:rFonts w:asciiTheme="minorHAnsi" w:hAnsiTheme="minorHAnsi" w:cs="Times New Roman"/>
          <w:bCs/>
        </w:rPr>
        <w:t xml:space="preserve">Note however that </w:t>
      </w:r>
      <w:r w:rsidRPr="00585E78">
        <w:rPr>
          <w:rFonts w:asciiTheme="minorHAnsi" w:hAnsiTheme="minorHAnsi" w:cs="Times New Roman"/>
          <w:bCs/>
        </w:rPr>
        <w:t>Indigeneity is unique and cannot always be incorporated into EDI in general</w:t>
      </w:r>
      <w:r>
        <w:rPr>
          <w:rFonts w:asciiTheme="minorHAnsi" w:hAnsiTheme="minorHAnsi" w:cs="Times New Roman"/>
          <w:bCs/>
        </w:rPr>
        <w:t>.</w:t>
      </w:r>
    </w:p>
    <w:p w:rsidR="00813C50" w:rsidRDefault="009A7CAA">
      <w:pPr>
        <w:pStyle w:val="ListParagraph"/>
        <w:numPr>
          <w:ilvl w:val="1"/>
          <w:numId w:val="1"/>
        </w:numPr>
        <w:tabs>
          <w:tab w:val="left" w:pos="1650"/>
          <w:tab w:val="left" w:pos="1651"/>
        </w:tabs>
        <w:spacing w:before="6" w:line="235" w:lineRule="auto"/>
        <w:ind w:left="1651" w:right="831"/>
      </w:pPr>
      <w:hyperlink r:id="rId33">
        <w:r w:rsidR="00235D57">
          <w:rPr>
            <w:color w:val="0000FF"/>
            <w:u w:val="single" w:color="0000FF"/>
          </w:rPr>
          <w:t>TCPS 2 (2018) – Chapter 9: Research Involving the First Nations, Inuit and</w:t>
        </w:r>
        <w:r w:rsidR="00235D57">
          <w:rPr>
            <w:color w:val="0000FF"/>
            <w:spacing w:val="-32"/>
            <w:u w:val="single" w:color="0000FF"/>
          </w:rPr>
          <w:t xml:space="preserve"> </w:t>
        </w:r>
        <w:r w:rsidR="00235D57">
          <w:rPr>
            <w:color w:val="0000FF"/>
            <w:u w:val="single" w:color="0000FF"/>
          </w:rPr>
          <w:t>Métis</w:t>
        </w:r>
      </w:hyperlink>
      <w:hyperlink r:id="rId34">
        <w:r w:rsidR="00235D57">
          <w:rPr>
            <w:color w:val="0000FF"/>
            <w:u w:val="single" w:color="0000FF"/>
          </w:rPr>
          <w:t xml:space="preserve"> Peoples of</w:t>
        </w:r>
        <w:r w:rsidR="00235D57">
          <w:rPr>
            <w:color w:val="0000FF"/>
            <w:spacing w:val="-5"/>
            <w:u w:val="single" w:color="0000FF"/>
          </w:rPr>
          <w:t xml:space="preserve"> </w:t>
        </w:r>
        <w:r w:rsidR="00235D57">
          <w:rPr>
            <w:color w:val="0000FF"/>
            <w:u w:val="single" w:color="0000FF"/>
          </w:rPr>
          <w:t>Canada</w:t>
        </w:r>
      </w:hyperlink>
    </w:p>
    <w:p w:rsidR="00813C50" w:rsidRDefault="009A7CAA">
      <w:pPr>
        <w:pStyle w:val="ListParagraph"/>
        <w:numPr>
          <w:ilvl w:val="1"/>
          <w:numId w:val="1"/>
        </w:numPr>
        <w:tabs>
          <w:tab w:val="left" w:pos="1650"/>
          <w:tab w:val="left" w:pos="1651"/>
        </w:tabs>
        <w:spacing w:line="271" w:lineRule="exact"/>
        <w:ind w:left="1651"/>
      </w:pPr>
      <w:hyperlink r:id="rId35">
        <w:r w:rsidR="00235D57">
          <w:rPr>
            <w:color w:val="0000FF"/>
            <w:u w:val="single" w:color="0000FF"/>
          </w:rPr>
          <w:t>CIHR Guidelines for Health Research Involving Aboriginal People</w:t>
        </w:r>
      </w:hyperlink>
    </w:p>
    <w:p w:rsidR="00813C50" w:rsidRPr="003754A5" w:rsidRDefault="009A7CAA">
      <w:pPr>
        <w:pStyle w:val="ListParagraph"/>
        <w:numPr>
          <w:ilvl w:val="1"/>
          <w:numId w:val="1"/>
        </w:numPr>
        <w:tabs>
          <w:tab w:val="left" w:pos="1650"/>
          <w:tab w:val="left" w:pos="1651"/>
        </w:tabs>
        <w:spacing w:line="273" w:lineRule="exact"/>
        <w:ind w:left="1651"/>
      </w:pPr>
      <w:hyperlink r:id="rId36">
        <w:r w:rsidR="00235D57">
          <w:rPr>
            <w:color w:val="0000FF"/>
            <w:u w:val="single" w:color="0000FF"/>
          </w:rPr>
          <w:t>United Nations Declaration on the Rights of Indigenous</w:t>
        </w:r>
        <w:r w:rsidR="00235D57">
          <w:rPr>
            <w:color w:val="0000FF"/>
            <w:spacing w:val="-14"/>
            <w:u w:val="single" w:color="0000FF"/>
          </w:rPr>
          <w:t xml:space="preserve"> </w:t>
        </w:r>
        <w:r w:rsidR="00235D57">
          <w:rPr>
            <w:color w:val="0000FF"/>
            <w:u w:val="single" w:color="0000FF"/>
          </w:rPr>
          <w:t>People</w:t>
        </w:r>
      </w:hyperlink>
    </w:p>
    <w:p w:rsidR="00235D57" w:rsidRPr="003754A5" w:rsidRDefault="009A7CAA" w:rsidP="00235D57">
      <w:pPr>
        <w:pStyle w:val="ListParagraph"/>
        <w:numPr>
          <w:ilvl w:val="1"/>
          <w:numId w:val="1"/>
        </w:numPr>
        <w:tabs>
          <w:tab w:val="left" w:pos="1650"/>
          <w:tab w:val="left" w:pos="1651"/>
        </w:tabs>
        <w:spacing w:line="273" w:lineRule="exact"/>
        <w:ind w:left="1651"/>
      </w:pPr>
      <w:hyperlink r:id="rId37" w:history="1">
        <w:r w:rsidR="00235D57" w:rsidRPr="003754A5">
          <w:rPr>
            <w:rStyle w:val="Hyperlink"/>
            <w:rFonts w:asciiTheme="minorHAnsi" w:eastAsia="MS Mincho" w:hAnsiTheme="minorHAnsi"/>
          </w:rPr>
          <w:t>Diversity, Equity and Indigenous Lens</w:t>
        </w:r>
      </w:hyperlink>
      <w:r w:rsidR="00235D57" w:rsidRPr="00235D57">
        <w:rPr>
          <w:rFonts w:asciiTheme="minorHAnsi" w:hAnsiTheme="minorHAnsi"/>
        </w:rPr>
        <w:t xml:space="preserve"> </w:t>
      </w:r>
      <w:r w:rsidR="00235D57">
        <w:rPr>
          <w:rFonts w:asciiTheme="minorHAnsi" w:hAnsiTheme="minorHAnsi"/>
        </w:rPr>
        <w:t xml:space="preserve">(2019) </w:t>
      </w:r>
      <w:r w:rsidR="00235D57" w:rsidRPr="005A6506">
        <w:rPr>
          <w:rFonts w:asciiTheme="minorHAnsi" w:hAnsiTheme="minorHAnsi"/>
        </w:rPr>
        <w:t>Confederation College</w:t>
      </w:r>
      <w:r w:rsidR="00235D57">
        <w:rPr>
          <w:rFonts w:asciiTheme="minorHAnsi" w:hAnsiTheme="minorHAnsi"/>
        </w:rPr>
        <w:t>.</w:t>
      </w:r>
    </w:p>
    <w:p w:rsidR="00235D57" w:rsidRPr="00235D57" w:rsidRDefault="000D73C0">
      <w:pPr>
        <w:pStyle w:val="ListParagraph"/>
        <w:numPr>
          <w:ilvl w:val="1"/>
          <w:numId w:val="1"/>
        </w:numPr>
        <w:tabs>
          <w:tab w:val="left" w:pos="1650"/>
          <w:tab w:val="left" w:pos="1651"/>
        </w:tabs>
        <w:spacing w:line="273" w:lineRule="exact"/>
        <w:ind w:left="1651"/>
      </w:pPr>
      <w:hyperlink r:id="rId38" w:history="1">
        <w:r w:rsidR="00235D57" w:rsidRPr="003754A5">
          <w:rPr>
            <w:rStyle w:val="Hyperlink"/>
            <w:rFonts w:asciiTheme="minorHAnsi" w:eastAsia="MS Mincho" w:hAnsiTheme="minorHAnsi"/>
            <w:lang w:val="fr-CA"/>
          </w:rPr>
          <w:t xml:space="preserve">The First Nations Information </w:t>
        </w:r>
        <w:r w:rsidR="00235D57" w:rsidRPr="00BF50BA">
          <w:rPr>
            <w:rStyle w:val="Hyperlink"/>
            <w:rFonts w:asciiTheme="minorHAnsi" w:eastAsia="MS Mincho" w:hAnsiTheme="minorHAnsi"/>
            <w:lang w:val="en-CA"/>
          </w:rPr>
          <w:t>Governance</w:t>
        </w:r>
        <w:r w:rsidR="00235D57" w:rsidRPr="003754A5">
          <w:rPr>
            <w:rStyle w:val="Hyperlink"/>
            <w:rFonts w:asciiTheme="minorHAnsi" w:eastAsia="MS Mincho" w:hAnsiTheme="minorHAnsi"/>
            <w:lang w:val="fr-CA"/>
          </w:rPr>
          <w:t xml:space="preserve"> Centre / Le Centre de gouvernance de l’information des Premières Nations</w:t>
        </w:r>
      </w:hyperlink>
    </w:p>
    <w:sectPr w:rsidR="00235D57" w:rsidRPr="00235D57">
      <w:headerReference w:type="default" r:id="rId39"/>
      <w:footerReference w:type="default" r:id="rId40"/>
      <w:pgSz w:w="12240" w:h="15840"/>
      <w:pgMar w:top="1440" w:right="1340" w:bottom="980" w:left="1340" w:header="71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EB" w:rsidRDefault="00235D57">
      <w:r>
        <w:separator/>
      </w:r>
    </w:p>
  </w:endnote>
  <w:endnote w:type="continuationSeparator" w:id="0">
    <w:p w:rsidR="003709EB" w:rsidRDefault="0023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hitney-Medium">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50" w:rsidRDefault="00CE16FB">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6746240</wp:posOffset>
              </wp:positionH>
              <wp:positionV relativeFrom="page">
                <wp:posOffset>9414510</wp:posOffset>
              </wp:positionV>
              <wp:extent cx="153670" cy="2114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0" w:rsidRDefault="00235D57">
                          <w:pPr>
                            <w:spacing w:before="20"/>
                            <w:ind w:left="60"/>
                            <w:rPr>
                              <w:sz w:val="24"/>
                            </w:rPr>
                          </w:pPr>
                          <w:r>
                            <w:fldChar w:fldCharType="begin"/>
                          </w:r>
                          <w:r>
                            <w:rPr>
                              <w:sz w:val="24"/>
                            </w:rPr>
                            <w:instrText xml:space="preserve"> PAGE </w:instrText>
                          </w:r>
                          <w:r>
                            <w:fldChar w:fldCharType="separate"/>
                          </w:r>
                          <w:r w:rsidR="009A7CAA">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2pt;margin-top:741.3pt;width:12.1pt;height:1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Xrqg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" filled="f" stroked="f">
              <v:textbox inset="0,0,0,0">
                <w:txbxContent>
                  <w:p w:rsidR="00813C50" w:rsidRDefault="00235D57">
                    <w:pPr>
                      <w:spacing w:before="20"/>
                      <w:ind w:left="60"/>
                      <w:rPr>
                        <w:sz w:val="24"/>
                      </w:rPr>
                    </w:pPr>
                    <w:r>
                      <w:fldChar w:fldCharType="begin"/>
                    </w:r>
                    <w:r>
                      <w:rPr>
                        <w:sz w:val="24"/>
                      </w:rPr>
                      <w:instrText xml:space="preserve"> PAGE </w:instrText>
                    </w:r>
                    <w:r>
                      <w:fldChar w:fldCharType="separate"/>
                    </w:r>
                    <w:r w:rsidR="009A7CAA">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EB" w:rsidRDefault="00235D57">
      <w:r>
        <w:separator/>
      </w:r>
    </w:p>
  </w:footnote>
  <w:footnote w:type="continuationSeparator" w:id="0">
    <w:p w:rsidR="003709EB" w:rsidRDefault="00235D57">
      <w:r>
        <w:continuationSeparator/>
      </w:r>
    </w:p>
  </w:footnote>
  <w:footnote w:id="1">
    <w:p w:rsidR="00725D2D" w:rsidRPr="003754A5" w:rsidRDefault="007A058C">
      <w:pPr>
        <w:pStyle w:val="FootnoteText"/>
        <w:rPr>
          <w:rFonts w:asciiTheme="minorHAnsi" w:hAnsiTheme="minorHAnsi" w:cstheme="minorHAnsi"/>
          <w:color w:val="222222"/>
          <w:sz w:val="16"/>
          <w:szCs w:val="16"/>
          <w:shd w:val="clear" w:color="auto" w:fill="FFFFFF"/>
        </w:rPr>
      </w:pPr>
      <w:r>
        <w:rPr>
          <w:rStyle w:val="FootnoteReference"/>
        </w:rPr>
        <w:footnoteRef/>
      </w:r>
      <w:r>
        <w:t xml:space="preserve"> </w:t>
      </w:r>
      <w:proofErr w:type="spellStart"/>
      <w:r w:rsidRPr="003754A5">
        <w:rPr>
          <w:rFonts w:asciiTheme="minorHAnsi" w:hAnsiTheme="minorHAnsi" w:cstheme="minorHAnsi"/>
          <w:color w:val="222222"/>
          <w:sz w:val="16"/>
          <w:szCs w:val="16"/>
          <w:shd w:val="clear" w:color="auto" w:fill="FFFFFF"/>
        </w:rPr>
        <w:t>AlShebli</w:t>
      </w:r>
      <w:proofErr w:type="spellEnd"/>
      <w:r w:rsidRPr="003754A5">
        <w:rPr>
          <w:rFonts w:asciiTheme="minorHAnsi" w:hAnsiTheme="minorHAnsi" w:cstheme="minorHAnsi"/>
          <w:color w:val="222222"/>
          <w:sz w:val="16"/>
          <w:szCs w:val="16"/>
          <w:shd w:val="clear" w:color="auto" w:fill="FFFFFF"/>
        </w:rPr>
        <w:t xml:space="preserve">, B.K., </w:t>
      </w:r>
      <w:proofErr w:type="spellStart"/>
      <w:r w:rsidRPr="003754A5">
        <w:rPr>
          <w:rFonts w:asciiTheme="minorHAnsi" w:hAnsiTheme="minorHAnsi" w:cstheme="minorHAnsi"/>
          <w:color w:val="222222"/>
          <w:sz w:val="16"/>
          <w:szCs w:val="16"/>
          <w:shd w:val="clear" w:color="auto" w:fill="FFFFFF"/>
        </w:rPr>
        <w:t>Rahwan</w:t>
      </w:r>
      <w:proofErr w:type="spellEnd"/>
      <w:r w:rsidRPr="003754A5">
        <w:rPr>
          <w:rFonts w:asciiTheme="minorHAnsi" w:hAnsiTheme="minorHAnsi" w:cstheme="minorHAnsi"/>
          <w:color w:val="222222"/>
          <w:sz w:val="16"/>
          <w:szCs w:val="16"/>
          <w:shd w:val="clear" w:color="auto" w:fill="FFFFFF"/>
        </w:rPr>
        <w:t xml:space="preserve">, T. &amp; </w:t>
      </w:r>
      <w:proofErr w:type="spellStart"/>
      <w:r w:rsidRPr="003754A5">
        <w:rPr>
          <w:rFonts w:asciiTheme="minorHAnsi" w:hAnsiTheme="minorHAnsi" w:cstheme="minorHAnsi"/>
          <w:color w:val="222222"/>
          <w:sz w:val="16"/>
          <w:szCs w:val="16"/>
          <w:shd w:val="clear" w:color="auto" w:fill="FFFFFF"/>
        </w:rPr>
        <w:t>Woon</w:t>
      </w:r>
      <w:proofErr w:type="spellEnd"/>
      <w:r w:rsidRPr="003754A5">
        <w:rPr>
          <w:rFonts w:asciiTheme="minorHAnsi" w:hAnsiTheme="minorHAnsi" w:cstheme="minorHAnsi"/>
          <w:color w:val="222222"/>
          <w:sz w:val="16"/>
          <w:szCs w:val="16"/>
          <w:shd w:val="clear" w:color="auto" w:fill="FFFFFF"/>
        </w:rPr>
        <w:t>, W.L. The preeminence of ethnic diversity in scientific collaboration. </w:t>
      </w:r>
      <w:r w:rsidRPr="003754A5">
        <w:rPr>
          <w:rFonts w:asciiTheme="minorHAnsi" w:hAnsiTheme="minorHAnsi" w:cstheme="minorHAnsi"/>
          <w:i/>
          <w:iCs/>
          <w:color w:val="222222"/>
          <w:sz w:val="16"/>
          <w:szCs w:val="16"/>
          <w:shd w:val="clear" w:color="auto" w:fill="FFFFFF"/>
        </w:rPr>
        <w:t xml:space="preserve">Nat </w:t>
      </w:r>
      <w:proofErr w:type="spellStart"/>
      <w:r w:rsidRPr="003754A5">
        <w:rPr>
          <w:rFonts w:asciiTheme="minorHAnsi" w:hAnsiTheme="minorHAnsi" w:cstheme="minorHAnsi"/>
          <w:i/>
          <w:iCs/>
          <w:color w:val="222222"/>
          <w:sz w:val="16"/>
          <w:szCs w:val="16"/>
          <w:shd w:val="clear" w:color="auto" w:fill="FFFFFF"/>
        </w:rPr>
        <w:t>Commun</w:t>
      </w:r>
      <w:proofErr w:type="spellEnd"/>
      <w:r w:rsidRPr="003754A5">
        <w:rPr>
          <w:rFonts w:asciiTheme="minorHAnsi" w:hAnsiTheme="minorHAnsi" w:cstheme="minorHAnsi"/>
          <w:color w:val="222222"/>
          <w:sz w:val="16"/>
          <w:szCs w:val="16"/>
          <w:shd w:val="clear" w:color="auto" w:fill="FFFFFF"/>
        </w:rPr>
        <w:t> </w:t>
      </w:r>
      <w:r w:rsidRPr="003754A5">
        <w:rPr>
          <w:rFonts w:asciiTheme="minorHAnsi" w:hAnsiTheme="minorHAnsi" w:cstheme="minorHAnsi"/>
          <w:b/>
          <w:bCs/>
          <w:color w:val="222222"/>
          <w:sz w:val="16"/>
          <w:szCs w:val="16"/>
          <w:shd w:val="clear" w:color="auto" w:fill="FFFFFF"/>
        </w:rPr>
        <w:t>9, </w:t>
      </w:r>
      <w:r w:rsidRPr="003754A5">
        <w:rPr>
          <w:rFonts w:asciiTheme="minorHAnsi" w:hAnsiTheme="minorHAnsi" w:cstheme="minorHAnsi"/>
          <w:color w:val="222222"/>
          <w:sz w:val="16"/>
          <w:szCs w:val="16"/>
          <w:shd w:val="clear" w:color="auto" w:fill="FFFFFF"/>
        </w:rPr>
        <w:t xml:space="preserve">5163 (2018). </w:t>
      </w:r>
      <w:hyperlink r:id="rId1" w:history="1">
        <w:r w:rsidR="00725D2D" w:rsidRPr="003754A5">
          <w:rPr>
            <w:rStyle w:val="Hyperlink"/>
            <w:rFonts w:asciiTheme="minorHAnsi" w:hAnsiTheme="minorHAnsi" w:cstheme="minorHAnsi"/>
            <w:sz w:val="16"/>
            <w:szCs w:val="16"/>
          </w:rPr>
          <w:t>https://doi.org/10.1038/s41467-018-07634-8</w:t>
        </w:r>
      </w:hyperlink>
      <w:r>
        <w:rPr>
          <w:rFonts w:asciiTheme="minorHAnsi" w:hAnsiTheme="minorHAnsi" w:cstheme="minorHAnsi"/>
          <w:color w:val="222222"/>
          <w:sz w:val="16"/>
          <w:szCs w:val="16"/>
          <w:shd w:val="clear" w:color="auto" w:fill="FFFFFF"/>
        </w:rPr>
        <w:t>.</w:t>
      </w:r>
    </w:p>
  </w:footnote>
  <w:footnote w:id="2">
    <w:p w:rsidR="00725D2D" w:rsidRPr="003754A5" w:rsidRDefault="00725D2D">
      <w:pPr>
        <w:pStyle w:val="FootnoteText"/>
        <w:rPr>
          <w:rFonts w:asciiTheme="minorHAnsi" w:hAnsiTheme="minorHAnsi" w:cstheme="minorHAnsi"/>
          <w:sz w:val="16"/>
          <w:szCs w:val="16"/>
        </w:rPr>
      </w:pPr>
      <w:r>
        <w:rPr>
          <w:rStyle w:val="FootnoteReference"/>
        </w:rPr>
        <w:footnoteRef/>
      </w:r>
      <w:r>
        <w:t xml:space="preserve"> </w:t>
      </w:r>
      <w:r w:rsidRPr="003754A5">
        <w:rPr>
          <w:rFonts w:asciiTheme="minorHAnsi" w:hAnsiTheme="minorHAnsi" w:cstheme="minorHAnsi"/>
          <w:color w:val="202020"/>
          <w:sz w:val="16"/>
          <w:szCs w:val="16"/>
          <w:shd w:val="clear" w:color="auto" w:fill="FFFFFF"/>
        </w:rPr>
        <w:t xml:space="preserve">Campbell LG, </w:t>
      </w:r>
      <w:proofErr w:type="spellStart"/>
      <w:r w:rsidRPr="003754A5">
        <w:rPr>
          <w:rFonts w:asciiTheme="minorHAnsi" w:hAnsiTheme="minorHAnsi" w:cstheme="minorHAnsi"/>
          <w:color w:val="202020"/>
          <w:sz w:val="16"/>
          <w:szCs w:val="16"/>
          <w:shd w:val="clear" w:color="auto" w:fill="FFFFFF"/>
        </w:rPr>
        <w:t>Mehtani</w:t>
      </w:r>
      <w:proofErr w:type="spellEnd"/>
      <w:r w:rsidRPr="003754A5">
        <w:rPr>
          <w:rFonts w:asciiTheme="minorHAnsi" w:hAnsiTheme="minorHAnsi" w:cstheme="minorHAnsi"/>
          <w:color w:val="202020"/>
          <w:sz w:val="16"/>
          <w:szCs w:val="16"/>
          <w:shd w:val="clear" w:color="auto" w:fill="FFFFFF"/>
        </w:rPr>
        <w:t xml:space="preserve"> S, Dozier ME, Rinehart J (2013) Gender-Heterogeneous Working Groups Produce Higher Quality Science. </w:t>
      </w:r>
      <w:proofErr w:type="spellStart"/>
      <w:r w:rsidRPr="003754A5">
        <w:rPr>
          <w:rFonts w:asciiTheme="minorHAnsi" w:hAnsiTheme="minorHAnsi" w:cstheme="minorHAnsi"/>
          <w:color w:val="202020"/>
          <w:sz w:val="16"/>
          <w:szCs w:val="16"/>
          <w:shd w:val="clear" w:color="auto" w:fill="FFFFFF"/>
        </w:rPr>
        <w:t>PLoS</w:t>
      </w:r>
      <w:proofErr w:type="spellEnd"/>
      <w:r w:rsidRPr="003754A5">
        <w:rPr>
          <w:rFonts w:asciiTheme="minorHAnsi" w:hAnsiTheme="minorHAnsi" w:cstheme="minorHAnsi"/>
          <w:color w:val="202020"/>
          <w:sz w:val="16"/>
          <w:szCs w:val="16"/>
          <w:shd w:val="clear" w:color="auto" w:fill="FFFFFF"/>
        </w:rPr>
        <w:t xml:space="preserve"> ONE 8(10): e79147. </w:t>
      </w:r>
      <w:hyperlink r:id="rId2" w:history="1">
        <w:r w:rsidRPr="003754A5">
          <w:rPr>
            <w:rStyle w:val="Hyperlink"/>
            <w:rFonts w:asciiTheme="minorHAnsi" w:hAnsiTheme="minorHAnsi" w:cstheme="minorHAnsi"/>
            <w:sz w:val="16"/>
            <w:szCs w:val="16"/>
          </w:rPr>
          <w:t>https://doi.org/10.1371/journal.pone.0079147</w:t>
        </w:r>
      </w:hyperlink>
      <w:r>
        <w:rPr>
          <w:rFonts w:asciiTheme="minorHAnsi" w:hAnsiTheme="minorHAnsi" w:cstheme="minorHAnsi"/>
          <w:color w:val="202020"/>
          <w:sz w:val="16"/>
          <w:szCs w:val="1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50" w:rsidRDefault="00235D57">
    <w:pPr>
      <w:pStyle w:val="BodyText"/>
      <w:spacing w:line="14" w:lineRule="auto"/>
      <w:rPr>
        <w:sz w:val="20"/>
      </w:rPr>
    </w:pPr>
    <w:r>
      <w:rPr>
        <w:noProof/>
        <w:lang w:bidi="ar-SA"/>
      </w:rPr>
      <w:drawing>
        <wp:anchor distT="0" distB="0" distL="0" distR="0" simplePos="0" relativeHeight="251659776" behindDoc="1" locked="0" layoutInCell="1" allowOverlap="1">
          <wp:simplePos x="0" y="0"/>
          <wp:positionH relativeFrom="page">
            <wp:posOffset>914400</wp:posOffset>
          </wp:positionH>
          <wp:positionV relativeFrom="page">
            <wp:posOffset>450850</wp:posOffset>
          </wp:positionV>
          <wp:extent cx="2616580" cy="3238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16580" cy="323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3B20"/>
    <w:multiLevelType w:val="hybridMultilevel"/>
    <w:tmpl w:val="11A68D6E"/>
    <w:lvl w:ilvl="0" w:tplc="55B0CFEA">
      <w:numFmt w:val="bullet"/>
      <w:lvlText w:val=""/>
      <w:lvlJc w:val="left"/>
      <w:pPr>
        <w:ind w:left="1181" w:hanging="360"/>
      </w:pPr>
      <w:rPr>
        <w:rFonts w:ascii="Symbol" w:eastAsia="Symbol" w:hAnsi="Symbol" w:cs="Symbol" w:hint="default"/>
        <w:w w:val="100"/>
        <w:sz w:val="22"/>
        <w:szCs w:val="22"/>
        <w:lang w:val="en-US" w:eastAsia="en-US" w:bidi="en-US"/>
      </w:rPr>
    </w:lvl>
    <w:lvl w:ilvl="1" w:tplc="F530D594">
      <w:numFmt w:val="bullet"/>
      <w:lvlText w:val="•"/>
      <w:lvlJc w:val="left"/>
      <w:pPr>
        <w:ind w:left="2018" w:hanging="360"/>
      </w:pPr>
      <w:rPr>
        <w:rFonts w:hint="default"/>
        <w:lang w:val="en-US" w:eastAsia="en-US" w:bidi="en-US"/>
      </w:rPr>
    </w:lvl>
    <w:lvl w:ilvl="2" w:tplc="0E1CA48A">
      <w:numFmt w:val="bullet"/>
      <w:lvlText w:val="•"/>
      <w:lvlJc w:val="left"/>
      <w:pPr>
        <w:ind w:left="2856" w:hanging="360"/>
      </w:pPr>
      <w:rPr>
        <w:rFonts w:hint="default"/>
        <w:lang w:val="en-US" w:eastAsia="en-US" w:bidi="en-US"/>
      </w:rPr>
    </w:lvl>
    <w:lvl w:ilvl="3" w:tplc="DBAAC15A">
      <w:numFmt w:val="bullet"/>
      <w:lvlText w:val="•"/>
      <w:lvlJc w:val="left"/>
      <w:pPr>
        <w:ind w:left="3694" w:hanging="360"/>
      </w:pPr>
      <w:rPr>
        <w:rFonts w:hint="default"/>
        <w:lang w:val="en-US" w:eastAsia="en-US" w:bidi="en-US"/>
      </w:rPr>
    </w:lvl>
    <w:lvl w:ilvl="4" w:tplc="0DEEDFCC">
      <w:numFmt w:val="bullet"/>
      <w:lvlText w:val="•"/>
      <w:lvlJc w:val="left"/>
      <w:pPr>
        <w:ind w:left="4532" w:hanging="360"/>
      </w:pPr>
      <w:rPr>
        <w:rFonts w:hint="default"/>
        <w:lang w:val="en-US" w:eastAsia="en-US" w:bidi="en-US"/>
      </w:rPr>
    </w:lvl>
    <w:lvl w:ilvl="5" w:tplc="4D041E78">
      <w:numFmt w:val="bullet"/>
      <w:lvlText w:val="•"/>
      <w:lvlJc w:val="left"/>
      <w:pPr>
        <w:ind w:left="5370" w:hanging="360"/>
      </w:pPr>
      <w:rPr>
        <w:rFonts w:hint="default"/>
        <w:lang w:val="en-US" w:eastAsia="en-US" w:bidi="en-US"/>
      </w:rPr>
    </w:lvl>
    <w:lvl w:ilvl="6" w:tplc="3F74B0C8">
      <w:numFmt w:val="bullet"/>
      <w:lvlText w:val="•"/>
      <w:lvlJc w:val="left"/>
      <w:pPr>
        <w:ind w:left="6208" w:hanging="360"/>
      </w:pPr>
      <w:rPr>
        <w:rFonts w:hint="default"/>
        <w:lang w:val="en-US" w:eastAsia="en-US" w:bidi="en-US"/>
      </w:rPr>
    </w:lvl>
    <w:lvl w:ilvl="7" w:tplc="7A4C29AC">
      <w:numFmt w:val="bullet"/>
      <w:lvlText w:val="•"/>
      <w:lvlJc w:val="left"/>
      <w:pPr>
        <w:ind w:left="7046" w:hanging="360"/>
      </w:pPr>
      <w:rPr>
        <w:rFonts w:hint="default"/>
        <w:lang w:val="en-US" w:eastAsia="en-US" w:bidi="en-US"/>
      </w:rPr>
    </w:lvl>
    <w:lvl w:ilvl="8" w:tplc="23525E6A">
      <w:numFmt w:val="bullet"/>
      <w:lvlText w:val="•"/>
      <w:lvlJc w:val="left"/>
      <w:pPr>
        <w:ind w:left="7884" w:hanging="360"/>
      </w:pPr>
      <w:rPr>
        <w:rFonts w:hint="default"/>
        <w:lang w:val="en-US" w:eastAsia="en-US" w:bidi="en-US"/>
      </w:rPr>
    </w:lvl>
  </w:abstractNum>
  <w:abstractNum w:abstractNumId="1" w15:restartNumberingAfterBreak="0">
    <w:nsid w:val="2A6E7D57"/>
    <w:multiLevelType w:val="hybridMultilevel"/>
    <w:tmpl w:val="9600E1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0E723B1"/>
    <w:multiLevelType w:val="hybridMultilevel"/>
    <w:tmpl w:val="F5E02BCE"/>
    <w:lvl w:ilvl="0" w:tplc="D3D64C28">
      <w:start w:val="1"/>
      <w:numFmt w:val="bullet"/>
      <w:lvlText w:val="⊳"/>
      <w:lvlJc w:val="left"/>
      <w:pPr>
        <w:tabs>
          <w:tab w:val="num" w:pos="720"/>
        </w:tabs>
        <w:ind w:left="720" w:hanging="360"/>
      </w:pPr>
      <w:rPr>
        <w:rFonts w:ascii="Cambria Math" w:hAnsi="Cambria Math" w:hint="default"/>
      </w:rPr>
    </w:lvl>
    <w:lvl w:ilvl="1" w:tplc="0C1499FE" w:tentative="1">
      <w:start w:val="1"/>
      <w:numFmt w:val="bullet"/>
      <w:lvlText w:val="⊳"/>
      <w:lvlJc w:val="left"/>
      <w:pPr>
        <w:tabs>
          <w:tab w:val="num" w:pos="1440"/>
        </w:tabs>
        <w:ind w:left="1440" w:hanging="360"/>
      </w:pPr>
      <w:rPr>
        <w:rFonts w:ascii="Cambria Math" w:hAnsi="Cambria Math" w:hint="default"/>
      </w:rPr>
    </w:lvl>
    <w:lvl w:ilvl="2" w:tplc="53D81DB0" w:tentative="1">
      <w:start w:val="1"/>
      <w:numFmt w:val="bullet"/>
      <w:lvlText w:val="⊳"/>
      <w:lvlJc w:val="left"/>
      <w:pPr>
        <w:tabs>
          <w:tab w:val="num" w:pos="2160"/>
        </w:tabs>
        <w:ind w:left="2160" w:hanging="360"/>
      </w:pPr>
      <w:rPr>
        <w:rFonts w:ascii="Cambria Math" w:hAnsi="Cambria Math" w:hint="default"/>
      </w:rPr>
    </w:lvl>
    <w:lvl w:ilvl="3" w:tplc="49D6F330" w:tentative="1">
      <w:start w:val="1"/>
      <w:numFmt w:val="bullet"/>
      <w:lvlText w:val="⊳"/>
      <w:lvlJc w:val="left"/>
      <w:pPr>
        <w:tabs>
          <w:tab w:val="num" w:pos="2880"/>
        </w:tabs>
        <w:ind w:left="2880" w:hanging="360"/>
      </w:pPr>
      <w:rPr>
        <w:rFonts w:ascii="Cambria Math" w:hAnsi="Cambria Math" w:hint="default"/>
      </w:rPr>
    </w:lvl>
    <w:lvl w:ilvl="4" w:tplc="2174A5F2" w:tentative="1">
      <w:start w:val="1"/>
      <w:numFmt w:val="bullet"/>
      <w:lvlText w:val="⊳"/>
      <w:lvlJc w:val="left"/>
      <w:pPr>
        <w:tabs>
          <w:tab w:val="num" w:pos="3600"/>
        </w:tabs>
        <w:ind w:left="3600" w:hanging="360"/>
      </w:pPr>
      <w:rPr>
        <w:rFonts w:ascii="Cambria Math" w:hAnsi="Cambria Math" w:hint="default"/>
      </w:rPr>
    </w:lvl>
    <w:lvl w:ilvl="5" w:tplc="BD44895C" w:tentative="1">
      <w:start w:val="1"/>
      <w:numFmt w:val="bullet"/>
      <w:lvlText w:val="⊳"/>
      <w:lvlJc w:val="left"/>
      <w:pPr>
        <w:tabs>
          <w:tab w:val="num" w:pos="4320"/>
        </w:tabs>
        <w:ind w:left="4320" w:hanging="360"/>
      </w:pPr>
      <w:rPr>
        <w:rFonts w:ascii="Cambria Math" w:hAnsi="Cambria Math" w:hint="default"/>
      </w:rPr>
    </w:lvl>
    <w:lvl w:ilvl="6" w:tplc="227AFDDE" w:tentative="1">
      <w:start w:val="1"/>
      <w:numFmt w:val="bullet"/>
      <w:lvlText w:val="⊳"/>
      <w:lvlJc w:val="left"/>
      <w:pPr>
        <w:tabs>
          <w:tab w:val="num" w:pos="5040"/>
        </w:tabs>
        <w:ind w:left="5040" w:hanging="360"/>
      </w:pPr>
      <w:rPr>
        <w:rFonts w:ascii="Cambria Math" w:hAnsi="Cambria Math" w:hint="default"/>
      </w:rPr>
    </w:lvl>
    <w:lvl w:ilvl="7" w:tplc="C974F3E0" w:tentative="1">
      <w:start w:val="1"/>
      <w:numFmt w:val="bullet"/>
      <w:lvlText w:val="⊳"/>
      <w:lvlJc w:val="left"/>
      <w:pPr>
        <w:tabs>
          <w:tab w:val="num" w:pos="5760"/>
        </w:tabs>
        <w:ind w:left="5760" w:hanging="360"/>
      </w:pPr>
      <w:rPr>
        <w:rFonts w:ascii="Cambria Math" w:hAnsi="Cambria Math" w:hint="default"/>
      </w:rPr>
    </w:lvl>
    <w:lvl w:ilvl="8" w:tplc="9738C036" w:tentative="1">
      <w:start w:val="1"/>
      <w:numFmt w:val="bullet"/>
      <w:lvlText w:val="⊳"/>
      <w:lvlJc w:val="left"/>
      <w:pPr>
        <w:tabs>
          <w:tab w:val="num" w:pos="6480"/>
        </w:tabs>
        <w:ind w:left="6480" w:hanging="360"/>
      </w:pPr>
      <w:rPr>
        <w:rFonts w:ascii="Cambria Math" w:hAnsi="Cambria Math" w:hint="default"/>
      </w:rPr>
    </w:lvl>
  </w:abstractNum>
  <w:abstractNum w:abstractNumId="3" w15:restartNumberingAfterBreak="0">
    <w:nsid w:val="71BA357B"/>
    <w:multiLevelType w:val="hybridMultilevel"/>
    <w:tmpl w:val="3D2C1DDE"/>
    <w:lvl w:ilvl="0" w:tplc="54186DF0">
      <w:numFmt w:val="bullet"/>
      <w:lvlText w:val=""/>
      <w:lvlJc w:val="left"/>
      <w:pPr>
        <w:ind w:left="821" w:hanging="361"/>
      </w:pPr>
      <w:rPr>
        <w:rFonts w:ascii="Symbol" w:eastAsia="Symbol" w:hAnsi="Symbol" w:cs="Symbol" w:hint="default"/>
        <w:w w:val="100"/>
        <w:sz w:val="22"/>
        <w:szCs w:val="22"/>
        <w:lang w:val="en-US" w:eastAsia="en-US" w:bidi="en-US"/>
      </w:rPr>
    </w:lvl>
    <w:lvl w:ilvl="1" w:tplc="0B5C2536">
      <w:numFmt w:val="bullet"/>
      <w:lvlText w:val="o"/>
      <w:lvlJc w:val="left"/>
      <w:pPr>
        <w:ind w:left="1541" w:hanging="360"/>
      </w:pPr>
      <w:rPr>
        <w:rFonts w:ascii="Courier New" w:eastAsia="Courier New" w:hAnsi="Courier New" w:cs="Courier New" w:hint="default"/>
        <w:spacing w:val="-3"/>
        <w:w w:val="100"/>
        <w:sz w:val="22"/>
        <w:szCs w:val="22"/>
        <w:lang w:val="en-US" w:eastAsia="en-US" w:bidi="en-US"/>
      </w:rPr>
    </w:lvl>
    <w:lvl w:ilvl="2" w:tplc="04090005">
      <w:start w:val="1"/>
      <w:numFmt w:val="bullet"/>
      <w:lvlText w:val=""/>
      <w:lvlJc w:val="left"/>
      <w:pPr>
        <w:ind w:left="1660" w:hanging="360"/>
      </w:pPr>
      <w:rPr>
        <w:rFonts w:ascii="Wingdings" w:hAnsi="Wingdings" w:hint="default"/>
        <w:lang w:val="en-US" w:eastAsia="en-US" w:bidi="en-US"/>
      </w:rPr>
    </w:lvl>
    <w:lvl w:ilvl="3" w:tplc="77C2E6E8">
      <w:numFmt w:val="bullet"/>
      <w:lvlText w:val="•"/>
      <w:lvlJc w:val="left"/>
      <w:pPr>
        <w:ind w:left="2647" w:hanging="360"/>
      </w:pPr>
      <w:rPr>
        <w:rFonts w:hint="default"/>
        <w:lang w:val="en-US" w:eastAsia="en-US" w:bidi="en-US"/>
      </w:rPr>
    </w:lvl>
    <w:lvl w:ilvl="4" w:tplc="D6D655E6">
      <w:numFmt w:val="bullet"/>
      <w:lvlText w:val="•"/>
      <w:lvlJc w:val="left"/>
      <w:pPr>
        <w:ind w:left="3635" w:hanging="360"/>
      </w:pPr>
      <w:rPr>
        <w:rFonts w:hint="default"/>
        <w:lang w:val="en-US" w:eastAsia="en-US" w:bidi="en-US"/>
      </w:rPr>
    </w:lvl>
    <w:lvl w:ilvl="5" w:tplc="B470D506">
      <w:numFmt w:val="bullet"/>
      <w:lvlText w:val="•"/>
      <w:lvlJc w:val="left"/>
      <w:pPr>
        <w:ind w:left="4622" w:hanging="360"/>
      </w:pPr>
      <w:rPr>
        <w:rFonts w:hint="default"/>
        <w:lang w:val="en-US" w:eastAsia="en-US" w:bidi="en-US"/>
      </w:rPr>
    </w:lvl>
    <w:lvl w:ilvl="6" w:tplc="FA4CD8CC">
      <w:numFmt w:val="bullet"/>
      <w:lvlText w:val="•"/>
      <w:lvlJc w:val="left"/>
      <w:pPr>
        <w:ind w:left="5610" w:hanging="360"/>
      </w:pPr>
      <w:rPr>
        <w:rFonts w:hint="default"/>
        <w:lang w:val="en-US" w:eastAsia="en-US" w:bidi="en-US"/>
      </w:rPr>
    </w:lvl>
    <w:lvl w:ilvl="7" w:tplc="8F5E6FEE">
      <w:numFmt w:val="bullet"/>
      <w:lvlText w:val="•"/>
      <w:lvlJc w:val="left"/>
      <w:pPr>
        <w:ind w:left="6597" w:hanging="360"/>
      </w:pPr>
      <w:rPr>
        <w:rFonts w:hint="default"/>
        <w:lang w:val="en-US" w:eastAsia="en-US" w:bidi="en-US"/>
      </w:rPr>
    </w:lvl>
    <w:lvl w:ilvl="8" w:tplc="6BD433E4">
      <w:numFmt w:val="bullet"/>
      <w:lvlText w:val="•"/>
      <w:lvlJc w:val="left"/>
      <w:pPr>
        <w:ind w:left="7585" w:hanging="360"/>
      </w:pPr>
      <w:rPr>
        <w:rFonts w:hint="default"/>
        <w:lang w:val="en-US" w:eastAsia="en-US" w:bidi="en-US"/>
      </w:rPr>
    </w:lvl>
  </w:abstractNum>
  <w:abstractNum w:abstractNumId="4" w15:restartNumberingAfterBreak="0">
    <w:nsid w:val="727E0FF3"/>
    <w:multiLevelType w:val="hybridMultilevel"/>
    <w:tmpl w:val="3BCC689E"/>
    <w:lvl w:ilvl="0" w:tplc="15407AFA">
      <w:start w:val="1"/>
      <w:numFmt w:val="bullet"/>
      <w:lvlText w:val="⊳"/>
      <w:lvlJc w:val="left"/>
      <w:pPr>
        <w:tabs>
          <w:tab w:val="num" w:pos="720"/>
        </w:tabs>
        <w:ind w:left="720" w:hanging="360"/>
      </w:pPr>
      <w:rPr>
        <w:rFonts w:ascii="Cambria Math" w:hAnsi="Cambria Math" w:hint="default"/>
      </w:rPr>
    </w:lvl>
    <w:lvl w:ilvl="1" w:tplc="25C2D8B4" w:tentative="1">
      <w:start w:val="1"/>
      <w:numFmt w:val="bullet"/>
      <w:lvlText w:val="⊳"/>
      <w:lvlJc w:val="left"/>
      <w:pPr>
        <w:tabs>
          <w:tab w:val="num" w:pos="1440"/>
        </w:tabs>
        <w:ind w:left="1440" w:hanging="360"/>
      </w:pPr>
      <w:rPr>
        <w:rFonts w:ascii="Cambria Math" w:hAnsi="Cambria Math" w:hint="default"/>
      </w:rPr>
    </w:lvl>
    <w:lvl w:ilvl="2" w:tplc="F36E5260" w:tentative="1">
      <w:start w:val="1"/>
      <w:numFmt w:val="bullet"/>
      <w:lvlText w:val="⊳"/>
      <w:lvlJc w:val="left"/>
      <w:pPr>
        <w:tabs>
          <w:tab w:val="num" w:pos="2160"/>
        </w:tabs>
        <w:ind w:left="2160" w:hanging="360"/>
      </w:pPr>
      <w:rPr>
        <w:rFonts w:ascii="Cambria Math" w:hAnsi="Cambria Math" w:hint="default"/>
      </w:rPr>
    </w:lvl>
    <w:lvl w:ilvl="3" w:tplc="971A4BDC" w:tentative="1">
      <w:start w:val="1"/>
      <w:numFmt w:val="bullet"/>
      <w:lvlText w:val="⊳"/>
      <w:lvlJc w:val="left"/>
      <w:pPr>
        <w:tabs>
          <w:tab w:val="num" w:pos="2880"/>
        </w:tabs>
        <w:ind w:left="2880" w:hanging="360"/>
      </w:pPr>
      <w:rPr>
        <w:rFonts w:ascii="Cambria Math" w:hAnsi="Cambria Math" w:hint="default"/>
      </w:rPr>
    </w:lvl>
    <w:lvl w:ilvl="4" w:tplc="9B465546" w:tentative="1">
      <w:start w:val="1"/>
      <w:numFmt w:val="bullet"/>
      <w:lvlText w:val="⊳"/>
      <w:lvlJc w:val="left"/>
      <w:pPr>
        <w:tabs>
          <w:tab w:val="num" w:pos="3600"/>
        </w:tabs>
        <w:ind w:left="3600" w:hanging="360"/>
      </w:pPr>
      <w:rPr>
        <w:rFonts w:ascii="Cambria Math" w:hAnsi="Cambria Math" w:hint="default"/>
      </w:rPr>
    </w:lvl>
    <w:lvl w:ilvl="5" w:tplc="B016C698" w:tentative="1">
      <w:start w:val="1"/>
      <w:numFmt w:val="bullet"/>
      <w:lvlText w:val="⊳"/>
      <w:lvlJc w:val="left"/>
      <w:pPr>
        <w:tabs>
          <w:tab w:val="num" w:pos="4320"/>
        </w:tabs>
        <w:ind w:left="4320" w:hanging="360"/>
      </w:pPr>
      <w:rPr>
        <w:rFonts w:ascii="Cambria Math" w:hAnsi="Cambria Math" w:hint="default"/>
      </w:rPr>
    </w:lvl>
    <w:lvl w:ilvl="6" w:tplc="54EA046C" w:tentative="1">
      <w:start w:val="1"/>
      <w:numFmt w:val="bullet"/>
      <w:lvlText w:val="⊳"/>
      <w:lvlJc w:val="left"/>
      <w:pPr>
        <w:tabs>
          <w:tab w:val="num" w:pos="5040"/>
        </w:tabs>
        <w:ind w:left="5040" w:hanging="360"/>
      </w:pPr>
      <w:rPr>
        <w:rFonts w:ascii="Cambria Math" w:hAnsi="Cambria Math" w:hint="default"/>
      </w:rPr>
    </w:lvl>
    <w:lvl w:ilvl="7" w:tplc="1478C2DC" w:tentative="1">
      <w:start w:val="1"/>
      <w:numFmt w:val="bullet"/>
      <w:lvlText w:val="⊳"/>
      <w:lvlJc w:val="left"/>
      <w:pPr>
        <w:tabs>
          <w:tab w:val="num" w:pos="5760"/>
        </w:tabs>
        <w:ind w:left="5760" w:hanging="360"/>
      </w:pPr>
      <w:rPr>
        <w:rFonts w:ascii="Cambria Math" w:hAnsi="Cambria Math" w:hint="default"/>
      </w:rPr>
    </w:lvl>
    <w:lvl w:ilvl="8" w:tplc="20583CF0" w:tentative="1">
      <w:start w:val="1"/>
      <w:numFmt w:val="bullet"/>
      <w:lvlText w:val="⊳"/>
      <w:lvlJc w:val="left"/>
      <w:pPr>
        <w:tabs>
          <w:tab w:val="num" w:pos="6480"/>
        </w:tabs>
        <w:ind w:left="6480" w:hanging="360"/>
      </w:pPr>
      <w:rPr>
        <w:rFonts w:ascii="Cambria Math" w:hAnsi="Cambria Math"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fr-CA"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50"/>
    <w:rsid w:val="000D73C0"/>
    <w:rsid w:val="000E6CD7"/>
    <w:rsid w:val="00235D57"/>
    <w:rsid w:val="00236312"/>
    <w:rsid w:val="003709EB"/>
    <w:rsid w:val="003754A5"/>
    <w:rsid w:val="0051612F"/>
    <w:rsid w:val="00544E28"/>
    <w:rsid w:val="00725D2D"/>
    <w:rsid w:val="007A058C"/>
    <w:rsid w:val="007E1F34"/>
    <w:rsid w:val="00813C50"/>
    <w:rsid w:val="00827327"/>
    <w:rsid w:val="00882E96"/>
    <w:rsid w:val="008D18D2"/>
    <w:rsid w:val="00905566"/>
    <w:rsid w:val="00912854"/>
    <w:rsid w:val="009179D5"/>
    <w:rsid w:val="0098025B"/>
    <w:rsid w:val="009A7CAA"/>
    <w:rsid w:val="009E23C1"/>
    <w:rsid w:val="00A600E6"/>
    <w:rsid w:val="00B91B45"/>
    <w:rsid w:val="00BF50BA"/>
    <w:rsid w:val="00CB7246"/>
    <w:rsid w:val="00CE16FB"/>
    <w:rsid w:val="00FA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01F8917-D07C-47F5-9B05-5FF824F0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100"/>
      <w:outlineLvl w:val="1"/>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18D2"/>
    <w:rPr>
      <w:color w:val="0000FF" w:themeColor="hyperlink"/>
      <w:u w:val="single"/>
    </w:rPr>
  </w:style>
  <w:style w:type="character" w:customStyle="1" w:styleId="UnresolvedMention1">
    <w:name w:val="Unresolved Mention1"/>
    <w:basedOn w:val="DefaultParagraphFont"/>
    <w:uiPriority w:val="99"/>
    <w:semiHidden/>
    <w:unhideWhenUsed/>
    <w:rsid w:val="008D18D2"/>
    <w:rPr>
      <w:color w:val="605E5C"/>
      <w:shd w:val="clear" w:color="auto" w:fill="E1DFDD"/>
    </w:rPr>
  </w:style>
  <w:style w:type="paragraph" w:styleId="NormalWeb">
    <w:name w:val="Normal (Web)"/>
    <w:basedOn w:val="Normal"/>
    <w:uiPriority w:val="99"/>
    <w:semiHidden/>
    <w:unhideWhenUsed/>
    <w:rsid w:val="00CB724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A058C"/>
    <w:rPr>
      <w:sz w:val="20"/>
      <w:szCs w:val="20"/>
    </w:rPr>
  </w:style>
  <w:style w:type="character" w:customStyle="1" w:styleId="FootnoteTextChar">
    <w:name w:val="Footnote Text Char"/>
    <w:basedOn w:val="DefaultParagraphFont"/>
    <w:link w:val="FootnoteText"/>
    <w:uiPriority w:val="99"/>
    <w:semiHidden/>
    <w:rsid w:val="007A058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7A058C"/>
    <w:rPr>
      <w:vertAlign w:val="superscript"/>
    </w:rPr>
  </w:style>
  <w:style w:type="paragraph" w:styleId="BalloonText">
    <w:name w:val="Balloon Text"/>
    <w:basedOn w:val="Normal"/>
    <w:link w:val="BalloonTextChar"/>
    <w:uiPriority w:val="99"/>
    <w:semiHidden/>
    <w:unhideWhenUsed/>
    <w:rsid w:val="007A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8C"/>
    <w:rPr>
      <w:rFonts w:ascii="Segoe UI" w:eastAsia="Calibri" w:hAnsi="Segoe UI" w:cs="Segoe UI"/>
      <w:sz w:val="18"/>
      <w:szCs w:val="18"/>
      <w:lang w:bidi="en-US"/>
    </w:rPr>
  </w:style>
  <w:style w:type="character" w:customStyle="1" w:styleId="hlfld-contribauthor">
    <w:name w:val="hlfld-contribauthor"/>
    <w:basedOn w:val="DefaultParagraphFont"/>
    <w:rsid w:val="00912854"/>
  </w:style>
  <w:style w:type="character" w:customStyle="1" w:styleId="journalname">
    <w:name w:val="journalname"/>
    <w:basedOn w:val="DefaultParagraphFont"/>
    <w:rsid w:val="00912854"/>
  </w:style>
  <w:style w:type="character" w:customStyle="1" w:styleId="year">
    <w:name w:val="year"/>
    <w:basedOn w:val="DefaultParagraphFont"/>
    <w:rsid w:val="00912854"/>
  </w:style>
  <w:style w:type="character" w:customStyle="1" w:styleId="volume">
    <w:name w:val="volume"/>
    <w:basedOn w:val="DefaultParagraphFont"/>
    <w:rsid w:val="00912854"/>
  </w:style>
  <w:style w:type="character" w:customStyle="1" w:styleId="issue">
    <w:name w:val="issue"/>
    <w:basedOn w:val="DefaultParagraphFont"/>
    <w:rsid w:val="00912854"/>
  </w:style>
  <w:style w:type="character" w:customStyle="1" w:styleId="page">
    <w:name w:val="page"/>
    <w:basedOn w:val="DefaultParagraphFont"/>
    <w:rsid w:val="00912854"/>
  </w:style>
  <w:style w:type="paragraph" w:styleId="EndnoteText">
    <w:name w:val="endnote text"/>
    <w:basedOn w:val="Normal"/>
    <w:link w:val="EndnoteTextChar"/>
    <w:uiPriority w:val="99"/>
    <w:unhideWhenUsed/>
    <w:rsid w:val="00235D57"/>
    <w:pPr>
      <w:widowControl/>
      <w:autoSpaceDE/>
      <w:autoSpaceDN/>
    </w:pPr>
    <w:rPr>
      <w:rFonts w:eastAsia="MS Mincho" w:cs="Times New Roman"/>
      <w:sz w:val="20"/>
      <w:szCs w:val="20"/>
      <w:lang w:val="en-CA" w:bidi="ar-SA"/>
    </w:rPr>
  </w:style>
  <w:style w:type="character" w:customStyle="1" w:styleId="EndnoteTextChar">
    <w:name w:val="Endnote Text Char"/>
    <w:basedOn w:val="DefaultParagraphFont"/>
    <w:link w:val="EndnoteText"/>
    <w:uiPriority w:val="99"/>
    <w:rsid w:val="00235D57"/>
    <w:rPr>
      <w:rFonts w:ascii="Calibri" w:eastAsia="MS Mincho" w:hAnsi="Calibri" w:cs="Times New Roman"/>
      <w:sz w:val="20"/>
      <w:szCs w:val="20"/>
      <w:lang w:val="en-CA"/>
    </w:rPr>
  </w:style>
  <w:style w:type="character" w:styleId="FollowedHyperlink">
    <w:name w:val="FollowedHyperlink"/>
    <w:basedOn w:val="DefaultParagraphFont"/>
    <w:uiPriority w:val="99"/>
    <w:semiHidden/>
    <w:unhideWhenUsed/>
    <w:rsid w:val="00235D57"/>
    <w:rPr>
      <w:color w:val="800080" w:themeColor="followedHyperlink"/>
      <w:u w:val="single"/>
    </w:rPr>
  </w:style>
  <w:style w:type="character" w:customStyle="1" w:styleId="UnresolvedMention">
    <w:name w:val="Unresolved Mention"/>
    <w:basedOn w:val="DefaultParagraphFont"/>
    <w:uiPriority w:val="99"/>
    <w:semiHidden/>
    <w:unhideWhenUsed/>
    <w:rsid w:val="0098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992">
      <w:bodyDiv w:val="1"/>
      <w:marLeft w:val="0"/>
      <w:marRight w:val="0"/>
      <w:marTop w:val="0"/>
      <w:marBottom w:val="0"/>
      <w:divBdr>
        <w:top w:val="none" w:sz="0" w:space="0" w:color="auto"/>
        <w:left w:val="none" w:sz="0" w:space="0" w:color="auto"/>
        <w:bottom w:val="none" w:sz="0" w:space="0" w:color="auto"/>
        <w:right w:val="none" w:sz="0" w:space="0" w:color="auto"/>
      </w:divBdr>
    </w:div>
    <w:div w:id="1179470048">
      <w:bodyDiv w:val="1"/>
      <w:marLeft w:val="0"/>
      <w:marRight w:val="0"/>
      <w:marTop w:val="0"/>
      <w:marBottom w:val="0"/>
      <w:divBdr>
        <w:top w:val="none" w:sz="0" w:space="0" w:color="auto"/>
        <w:left w:val="none" w:sz="0" w:space="0" w:color="auto"/>
        <w:bottom w:val="none" w:sz="0" w:space="0" w:color="auto"/>
        <w:right w:val="none" w:sz="0" w:space="0" w:color="auto"/>
      </w:divBdr>
      <w:divsChild>
        <w:div w:id="1972323320">
          <w:marLeft w:val="720"/>
          <w:marRight w:val="0"/>
          <w:marTop w:val="120"/>
          <w:marBottom w:val="0"/>
          <w:divBdr>
            <w:top w:val="none" w:sz="0" w:space="0" w:color="auto"/>
            <w:left w:val="none" w:sz="0" w:space="0" w:color="auto"/>
            <w:bottom w:val="none" w:sz="0" w:space="0" w:color="auto"/>
            <w:right w:val="none" w:sz="0" w:space="0" w:color="auto"/>
          </w:divBdr>
        </w:div>
        <w:div w:id="1311517991">
          <w:marLeft w:val="720"/>
          <w:marRight w:val="0"/>
          <w:marTop w:val="0"/>
          <w:marBottom w:val="0"/>
          <w:divBdr>
            <w:top w:val="none" w:sz="0" w:space="0" w:color="auto"/>
            <w:left w:val="none" w:sz="0" w:space="0" w:color="auto"/>
            <w:bottom w:val="none" w:sz="0" w:space="0" w:color="auto"/>
            <w:right w:val="none" w:sz="0" w:space="0" w:color="auto"/>
          </w:divBdr>
        </w:div>
        <w:div w:id="1264458008">
          <w:marLeft w:val="720"/>
          <w:marRight w:val="0"/>
          <w:marTop w:val="0"/>
          <w:marBottom w:val="0"/>
          <w:divBdr>
            <w:top w:val="none" w:sz="0" w:space="0" w:color="auto"/>
            <w:left w:val="none" w:sz="0" w:space="0" w:color="auto"/>
            <w:bottom w:val="none" w:sz="0" w:space="0" w:color="auto"/>
            <w:right w:val="none" w:sz="0" w:space="0" w:color="auto"/>
          </w:divBdr>
        </w:div>
      </w:divsChild>
    </w:div>
    <w:div w:id="1805389624">
      <w:bodyDiv w:val="1"/>
      <w:marLeft w:val="0"/>
      <w:marRight w:val="0"/>
      <w:marTop w:val="0"/>
      <w:marBottom w:val="0"/>
      <w:divBdr>
        <w:top w:val="none" w:sz="0" w:space="0" w:color="auto"/>
        <w:left w:val="none" w:sz="0" w:space="0" w:color="auto"/>
        <w:bottom w:val="none" w:sz="0" w:space="0" w:color="auto"/>
        <w:right w:val="none" w:sz="0" w:space="0" w:color="auto"/>
      </w:divBdr>
      <w:divsChild>
        <w:div w:id="690300189">
          <w:marLeft w:val="0"/>
          <w:marRight w:val="0"/>
          <w:marTop w:val="0"/>
          <w:marBottom w:val="0"/>
          <w:divBdr>
            <w:top w:val="none" w:sz="0" w:space="0" w:color="auto"/>
            <w:left w:val="none" w:sz="0" w:space="0" w:color="auto"/>
            <w:bottom w:val="none" w:sz="0" w:space="0" w:color="auto"/>
            <w:right w:val="none" w:sz="0" w:space="0" w:color="auto"/>
          </w:divBdr>
        </w:div>
      </w:divsChild>
    </w:div>
    <w:div w:id="1862083307">
      <w:bodyDiv w:val="1"/>
      <w:marLeft w:val="0"/>
      <w:marRight w:val="0"/>
      <w:marTop w:val="0"/>
      <w:marBottom w:val="0"/>
      <w:divBdr>
        <w:top w:val="none" w:sz="0" w:space="0" w:color="auto"/>
        <w:left w:val="none" w:sz="0" w:space="0" w:color="auto"/>
        <w:bottom w:val="none" w:sz="0" w:space="0" w:color="auto"/>
        <w:right w:val="none" w:sz="0" w:space="0" w:color="auto"/>
      </w:divBdr>
      <w:divsChild>
        <w:div w:id="1645499716">
          <w:marLeft w:val="720"/>
          <w:marRight w:val="0"/>
          <w:marTop w:val="200"/>
          <w:marBottom w:val="0"/>
          <w:divBdr>
            <w:top w:val="none" w:sz="0" w:space="0" w:color="auto"/>
            <w:left w:val="none" w:sz="0" w:space="0" w:color="auto"/>
            <w:bottom w:val="none" w:sz="0" w:space="0" w:color="auto"/>
            <w:right w:val="none" w:sz="0" w:space="0" w:color="auto"/>
          </w:divBdr>
        </w:div>
        <w:div w:id="759447746">
          <w:marLeft w:val="720"/>
          <w:marRight w:val="0"/>
          <w:marTop w:val="200"/>
          <w:marBottom w:val="0"/>
          <w:divBdr>
            <w:top w:val="none" w:sz="0" w:space="0" w:color="auto"/>
            <w:left w:val="none" w:sz="0" w:space="0" w:color="auto"/>
            <w:bottom w:val="none" w:sz="0" w:space="0" w:color="auto"/>
            <w:right w:val="none" w:sz="0" w:space="0" w:color="auto"/>
          </w:divBdr>
        </w:div>
        <w:div w:id="612443595">
          <w:marLeft w:val="720"/>
          <w:marRight w:val="0"/>
          <w:marTop w:val="200"/>
          <w:marBottom w:val="200"/>
          <w:divBdr>
            <w:top w:val="none" w:sz="0" w:space="0" w:color="auto"/>
            <w:left w:val="none" w:sz="0" w:space="0" w:color="auto"/>
            <w:bottom w:val="none" w:sz="0" w:space="0" w:color="auto"/>
            <w:right w:val="none" w:sz="0" w:space="0" w:color="auto"/>
          </w:divBdr>
        </w:div>
      </w:divsChild>
    </w:div>
    <w:div w:id="197050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ubc.ca/" TargetMode="External"/><Relationship Id="rId13" Type="http://schemas.openxmlformats.org/officeDocument/2006/relationships/hyperlink" Target="https://irsi.ubc.ca/" TargetMode="External"/><Relationship Id="rId18" Type="http://schemas.openxmlformats.org/officeDocument/2006/relationships/hyperlink" Target="https://www.sfu.ca/wwest/resources/White-Papers.html" TargetMode="External"/><Relationship Id="rId26" Type="http://schemas.openxmlformats.org/officeDocument/2006/relationships/hyperlink" Target="https://cfc-swc.gc.ca/gba-acs/index-en.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fc-swc.gc.ca/gba-acs/bias-prejuge-en.html" TargetMode="External"/><Relationship Id="rId34" Type="http://schemas.openxmlformats.org/officeDocument/2006/relationships/hyperlink" Target="http://www.pre.ethics.gc.ca/eng/tcps2-eptc2_2018_chapter9-chapitre9.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quity.ubc.ca/" TargetMode="External"/><Relationship Id="rId17" Type="http://schemas.openxmlformats.org/officeDocument/2006/relationships/hyperlink" Target="http://www.chairs-chaires.gc.ca/program-programme/equity-equite/best_practices-pratiques_examplaires-eng.aspx" TargetMode="External"/><Relationship Id="rId25" Type="http://schemas.openxmlformats.org/officeDocument/2006/relationships/hyperlink" Target="https://aboriginal.ubc.ca/community-youth/musqueam-and-ubc/" TargetMode="External"/><Relationship Id="rId33" Type="http://schemas.openxmlformats.org/officeDocument/2006/relationships/hyperlink" Target="http://www.pre.ethics.gc.ca/eng/tcps2-eptc2_2018_chapter9-chapitre9.html" TargetMode="External"/><Relationship Id="rId38" Type="http://schemas.openxmlformats.org/officeDocument/2006/relationships/hyperlink" Target="https://fnigc.ca/splash/" TargetMode="External"/><Relationship Id="rId2" Type="http://schemas.openxmlformats.org/officeDocument/2006/relationships/numbering" Target="numbering.xml"/><Relationship Id="rId16" Type="http://schemas.openxmlformats.org/officeDocument/2006/relationships/hyperlink" Target="https://research.ubc.ca/support-researchers/conducting-your-research/equity-diversity-and-inclusion" TargetMode="External"/><Relationship Id="rId20" Type="http://schemas.openxmlformats.org/officeDocument/2006/relationships/hyperlink" Target="https://www.lib.sfu.ca/help/academic-integrity/edi" TargetMode="External"/><Relationship Id="rId29" Type="http://schemas.openxmlformats.org/officeDocument/2006/relationships/hyperlink" Target="http://www.cihr-irsc.gc.ca/e/5083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bc.ca/initiatives/ubc-dimensions-pilot" TargetMode="External"/><Relationship Id="rId24" Type="http://schemas.openxmlformats.org/officeDocument/2006/relationships/hyperlink" Target="https://equity.ubc.ca/resources/days-of-significance-calendar/" TargetMode="External"/><Relationship Id="rId32" Type="http://schemas.openxmlformats.org/officeDocument/2006/relationships/hyperlink" Target="https://www.annualreviews.org/doi/10.1146/annurev-lawsocsci-101518-042942" TargetMode="External"/><Relationship Id="rId37" Type="http://schemas.openxmlformats.org/officeDocument/2006/relationships/hyperlink" Target="https://indd.adobe.com/view/a7bec930-ee73-433c-995b-812175d932b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unityengagement.ubc.ca" TargetMode="External"/><Relationship Id="rId23" Type="http://schemas.openxmlformats.org/officeDocument/2006/relationships/hyperlink" Target="https://equity.ubc.ca/resources/days-of-significance-calendar/" TargetMode="External"/><Relationship Id="rId28" Type="http://schemas.openxmlformats.org/officeDocument/2006/relationships/hyperlink" Target="http://genderedinnovations.stanford.edu/methods-sex-and-gender-analysis.html" TargetMode="External"/><Relationship Id="rId36" Type="http://schemas.openxmlformats.org/officeDocument/2006/relationships/hyperlink" Target="https://www.un.org/development/desa/indigenouspeoples/wp-content/uploads/sites/19/2018/11/UNDRIP_E_web.pdf" TargetMode="External"/><Relationship Id="rId10" Type="http://schemas.openxmlformats.org/officeDocument/2006/relationships/hyperlink" Target="https://www.nserc-crsng.gc.ca/NSERC-CRSNG/EDI-EDI/Dimensions-Program_Programme-Dimensions_eng.asp" TargetMode="External"/><Relationship Id="rId19" Type="http://schemas.openxmlformats.org/officeDocument/2006/relationships/hyperlink" Target="https://gender-summit.com/portia_web/assets/GS11NA_REPORT_EN.pdf" TargetMode="External"/><Relationship Id="rId31" Type="http://schemas.openxmlformats.org/officeDocument/2006/relationships/hyperlink" Target="https://pdfs.semanticscholar.org/d56a/9eba2da23ab70bfadd9ca2e076af4a3a62cc.pdf" TargetMode="External"/><Relationship Id="rId4" Type="http://schemas.openxmlformats.org/officeDocument/2006/relationships/settings" Target="settings.xml"/><Relationship Id="rId9" Type="http://schemas.openxmlformats.org/officeDocument/2006/relationships/hyperlink" Target="http://www.nserc-crsng.gc.ca/NSERC-CRSNG/EDI-EDI/Dimensions_Dimensions_eng.asp" TargetMode="External"/><Relationship Id="rId14" Type="http://schemas.openxmlformats.org/officeDocument/2006/relationships/hyperlink" Target="https://learningexchange.ubc.ca/" TargetMode="External"/><Relationship Id="rId22" Type="http://schemas.openxmlformats.org/officeDocument/2006/relationships/hyperlink" Target="https://equity.ubc.ca/resources/accessible-and-inclusive-event-planning/" TargetMode="External"/><Relationship Id="rId27" Type="http://schemas.openxmlformats.org/officeDocument/2006/relationships/hyperlink" Target="https://cfc-swc.gc.ca/gba-acs/course-cours/eng/mod00/mod00_01_01.html" TargetMode="External"/><Relationship Id="rId30" Type="http://schemas.openxmlformats.org/officeDocument/2006/relationships/hyperlink" Target="https://www.ifsee.ulaval.ca/sites/ifsee.ulaval.ca/files/b95277db179219c5ee8080a99b0b91276941.pdf" TargetMode="External"/><Relationship Id="rId35" Type="http://schemas.openxmlformats.org/officeDocument/2006/relationships/hyperlink" Target="http://www.cihr-irsc.gc.ca/e/29134.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371/journal.pone.0079147" TargetMode="External"/><Relationship Id="rId1" Type="http://schemas.openxmlformats.org/officeDocument/2006/relationships/hyperlink" Target="https://doi.org/10.1038/s41467-018-0763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03B2-24EB-4B8C-BA75-4E72DB04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Frost</dc:creator>
  <cp:lastModifiedBy>Herzer, Stacey</cp:lastModifiedBy>
  <cp:revision>3</cp:revision>
  <dcterms:created xsi:type="dcterms:W3CDTF">2020-09-18T00:25:00Z</dcterms:created>
  <dcterms:modified xsi:type="dcterms:W3CDTF">2020-09-18T00:25:00Z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vt:lpwstr>
  </property>
  <property fmtid="{D5CDD505-2E9C-101B-9397-08002B2CF9AE}" pid="4" name="LastSaved">
    <vt:filetime>2020-08-24T00:00:00Z</vt:filetime>
  </property>
</Properties>
</file>